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F7" w:rsidRPr="00D302E7" w:rsidRDefault="00CB6EC6" w:rsidP="00A23825">
      <w:pPr>
        <w:adjustRightInd w:val="0"/>
        <w:snapToGrid w:val="0"/>
        <w:spacing w:line="360" w:lineRule="auto"/>
        <w:jc w:val="center"/>
        <w:rPr>
          <w:rFonts w:ascii="Arial" w:hAnsi="Arial" w:cs="Arial"/>
          <w:b/>
          <w:bCs/>
          <w:sz w:val="28"/>
          <w:szCs w:val="28"/>
          <w:lang w:val="en-GB" w:eastAsia="zh-HK"/>
        </w:rPr>
      </w:pPr>
      <w:bookmarkStart w:id="0" w:name="_GoBack"/>
      <w:bookmarkEnd w:id="0"/>
      <w:r>
        <w:rPr>
          <w:rFonts w:ascii="Arial" w:hAnsi="Arial" w:cs="Arial"/>
          <w:b/>
          <w:bCs/>
          <w:sz w:val="28"/>
          <w:szCs w:val="28"/>
          <w:lang w:val="en-GB"/>
        </w:rPr>
        <w:t xml:space="preserve"> </w:t>
      </w:r>
      <w:r w:rsidR="003C0412">
        <w:rPr>
          <w:rFonts w:ascii="Arial" w:hAnsi="Arial" w:cs="Arial"/>
          <w:b/>
          <w:bCs/>
          <w:sz w:val="28"/>
          <w:szCs w:val="28"/>
          <w:lang w:val="en-GB"/>
        </w:rPr>
        <w:t>[Cursory Translation]</w:t>
      </w:r>
    </w:p>
    <w:p w:rsidR="00CB7DF7" w:rsidRPr="00D302E7" w:rsidRDefault="00CB7DF7" w:rsidP="00A23825">
      <w:pPr>
        <w:snapToGrid w:val="0"/>
        <w:spacing w:line="360" w:lineRule="auto"/>
        <w:rPr>
          <w:rFonts w:ascii="Arial" w:hAnsi="Arial" w:cs="Arial"/>
          <w:b/>
          <w:color w:val="000000"/>
          <w:kern w:val="0"/>
          <w:sz w:val="28"/>
          <w:szCs w:val="28"/>
          <w:lang w:val="en-GB" w:eastAsia="zh-TW"/>
        </w:rPr>
      </w:pPr>
    </w:p>
    <w:p w:rsidR="00CB7DF7" w:rsidRPr="00D302E7" w:rsidRDefault="00CB7DF7" w:rsidP="00A23825">
      <w:pPr>
        <w:jc w:val="left"/>
        <w:rPr>
          <w:rFonts w:ascii="Arial" w:eastAsia="新細明體" w:hAnsi="Arial" w:cs="Times New Roman"/>
          <w:b/>
          <w:sz w:val="28"/>
          <w:szCs w:val="24"/>
          <w:lang w:val="en-GB" w:eastAsia="zh-TW"/>
        </w:rPr>
      </w:pPr>
      <w:r w:rsidRPr="00D302E7">
        <w:rPr>
          <w:rFonts w:ascii="Arial" w:eastAsia="新細明體" w:hAnsi="Arial" w:cs="Times New Roman"/>
          <w:b/>
          <w:sz w:val="28"/>
          <w:szCs w:val="24"/>
          <w:lang w:val="en-GB" w:eastAsia="zh-TW"/>
        </w:rPr>
        <w:t>Annex 1</w:t>
      </w:r>
    </w:p>
    <w:p w:rsidR="00CB7DF7" w:rsidRPr="00D302E7" w:rsidRDefault="00CB7DF7" w:rsidP="00A23825">
      <w:pPr>
        <w:jc w:val="left"/>
        <w:rPr>
          <w:rFonts w:ascii="Arial" w:eastAsia="新細明體" w:hAnsi="Arial" w:cs="Times New Roman"/>
          <w:b/>
          <w:sz w:val="28"/>
          <w:szCs w:val="24"/>
          <w:lang w:val="en-GB" w:eastAsia="zh-TW"/>
        </w:rPr>
      </w:pPr>
    </w:p>
    <w:p w:rsidR="00CB7DF7" w:rsidRPr="00D302E7" w:rsidRDefault="006E7B6E" w:rsidP="00A23825">
      <w:pPr>
        <w:jc w:val="center"/>
        <w:rPr>
          <w:rFonts w:ascii="Arial" w:eastAsia="新細明體" w:hAnsi="Arial" w:cs="Arial"/>
          <w:b/>
          <w:sz w:val="28"/>
          <w:szCs w:val="28"/>
          <w:vertAlign w:val="superscript"/>
          <w:lang w:val="en-GB" w:eastAsia="zh-TW"/>
        </w:rPr>
      </w:pPr>
      <w:r>
        <w:rPr>
          <w:rFonts w:ascii="Arial" w:eastAsia="新細明體" w:hAnsi="Arial" w:cs="Times New Roman" w:hint="eastAsia"/>
          <w:b/>
          <w:sz w:val="28"/>
          <w:szCs w:val="24"/>
          <w:lang w:val="en-GB" w:eastAsia="zh-TW"/>
        </w:rPr>
        <w:t>Relevant</w:t>
      </w:r>
      <w:r w:rsidRPr="00D302E7">
        <w:rPr>
          <w:rFonts w:ascii="Arial" w:eastAsia="新細明體" w:hAnsi="Arial" w:cs="Times New Roman"/>
          <w:b/>
          <w:sz w:val="28"/>
          <w:szCs w:val="24"/>
          <w:lang w:val="en-GB" w:eastAsia="zh-TW"/>
        </w:rPr>
        <w:t xml:space="preserve"> </w:t>
      </w:r>
      <w:r w:rsidR="00CB7DF7" w:rsidRPr="00D302E7">
        <w:rPr>
          <w:rFonts w:ascii="Arial" w:eastAsia="新細明體" w:hAnsi="Arial" w:cs="Times New Roman"/>
          <w:b/>
          <w:sz w:val="28"/>
          <w:szCs w:val="24"/>
          <w:lang w:val="en-GB" w:eastAsia="zh-TW"/>
        </w:rPr>
        <w:t>Requirements on the Definition of “Investor”</w:t>
      </w:r>
      <w:r w:rsidR="009A2CF7">
        <w:rPr>
          <w:rStyle w:val="a7"/>
          <w:rFonts w:ascii="Arial" w:eastAsia="新細明體" w:hAnsi="Arial" w:cs="Arial" w:hint="eastAsia"/>
          <w:b/>
          <w:sz w:val="28"/>
          <w:szCs w:val="28"/>
          <w:lang w:val="en-GB" w:eastAsia="zh-TW"/>
        </w:rPr>
        <w:footnoteReference w:customMarkFollows="1" w:id="1"/>
        <w:t>①</w:t>
      </w:r>
    </w:p>
    <w:p w:rsidR="00CB7DF7" w:rsidRPr="00D302E7" w:rsidRDefault="00CB7DF7" w:rsidP="00A23825">
      <w:pPr>
        <w:snapToGrid w:val="0"/>
        <w:spacing w:line="360" w:lineRule="auto"/>
        <w:rPr>
          <w:rFonts w:ascii="Arial" w:hAnsi="Arial" w:cs="Arial"/>
          <w:sz w:val="28"/>
          <w:szCs w:val="28"/>
          <w:lang w:val="en-GB" w:eastAsia="zh-HK"/>
        </w:rPr>
      </w:pPr>
    </w:p>
    <w:p w:rsidR="00CB7DF7" w:rsidRPr="00D302E7" w:rsidRDefault="00CB7DF7" w:rsidP="00A23825">
      <w:pPr>
        <w:spacing w:line="360" w:lineRule="auto"/>
        <w:rPr>
          <w:rFonts w:ascii="Arial" w:eastAsia="新細明體" w:hAnsi="Arial" w:cs="Times New Roman"/>
          <w:sz w:val="28"/>
          <w:szCs w:val="24"/>
          <w:lang w:val="en-GB" w:eastAsia="zh-TW"/>
        </w:rPr>
      </w:pPr>
      <w:r w:rsidRPr="00D302E7">
        <w:rPr>
          <w:rFonts w:ascii="Arial" w:eastAsia="新細明體" w:hAnsi="Arial" w:cs="Times New Roman"/>
          <w:sz w:val="28"/>
          <w:szCs w:val="24"/>
          <w:lang w:val="en-GB" w:eastAsia="zh-TW"/>
        </w:rPr>
        <w:t>1.</w:t>
      </w:r>
      <w:r w:rsidRPr="00D302E7">
        <w:rPr>
          <w:rFonts w:ascii="Arial" w:eastAsia="新細明體" w:hAnsi="Arial" w:cs="Times New Roman"/>
          <w:sz w:val="28"/>
          <w:szCs w:val="24"/>
          <w:lang w:val="en-GB" w:eastAsia="zh-TW"/>
        </w:rPr>
        <w:tab/>
      </w:r>
      <w:r w:rsidR="006E7B6E">
        <w:rPr>
          <w:rFonts w:ascii="Arial" w:eastAsia="新細明體" w:hAnsi="Arial" w:cs="Times New Roman" w:hint="eastAsia"/>
          <w:sz w:val="28"/>
          <w:szCs w:val="24"/>
          <w:lang w:val="en-GB" w:eastAsia="zh-TW"/>
        </w:rPr>
        <w:t xml:space="preserve">A </w:t>
      </w:r>
      <w:r w:rsidRPr="00D302E7">
        <w:rPr>
          <w:rFonts w:ascii="Arial" w:eastAsia="新細明體" w:hAnsi="Arial" w:cs="Times New Roman"/>
          <w:sz w:val="28"/>
          <w:szCs w:val="24"/>
          <w:lang w:val="en-GB" w:eastAsia="zh-TW"/>
        </w:rPr>
        <w:t xml:space="preserve">Hong Kong enterprise investing in the Mainland in the form of commercial presence </w:t>
      </w:r>
      <w:r w:rsidR="00191175" w:rsidRPr="00D302E7">
        <w:rPr>
          <w:rFonts w:ascii="Arial" w:eastAsia="新細明體" w:hAnsi="Arial" w:cs="Times New Roman"/>
          <w:sz w:val="28"/>
          <w:szCs w:val="24"/>
          <w:lang w:val="en-GB" w:eastAsia="zh-TW"/>
        </w:rPr>
        <w:t>may</w:t>
      </w:r>
      <w:r w:rsidRPr="00D302E7">
        <w:rPr>
          <w:rFonts w:ascii="Arial" w:eastAsia="新細明體" w:hAnsi="Arial" w:cs="Times New Roman"/>
          <w:sz w:val="28"/>
          <w:szCs w:val="24"/>
          <w:lang w:val="en-GB" w:eastAsia="zh-TW"/>
        </w:rPr>
        <w:t xml:space="preserve"> constitute </w:t>
      </w:r>
      <w:r w:rsidR="006E7B6E">
        <w:rPr>
          <w:rFonts w:ascii="Arial" w:eastAsia="新細明體" w:hAnsi="Arial" w:cs="Times New Roman" w:hint="eastAsia"/>
          <w:sz w:val="28"/>
          <w:szCs w:val="24"/>
          <w:lang w:val="en-GB" w:eastAsia="zh-TW"/>
        </w:rPr>
        <w:t xml:space="preserve">an </w:t>
      </w:r>
      <w:r w:rsidRPr="00D302E7">
        <w:rPr>
          <w:rFonts w:ascii="Arial" w:eastAsia="新細明體" w:hAnsi="Arial" w:cs="Times New Roman"/>
          <w:sz w:val="28"/>
          <w:szCs w:val="24"/>
          <w:lang w:val="en-GB" w:eastAsia="zh-TW"/>
        </w:rPr>
        <w:t xml:space="preserve">“investor” </w:t>
      </w:r>
      <w:r w:rsidR="00532AC0" w:rsidRPr="00D302E7">
        <w:rPr>
          <w:rFonts w:ascii="Arial" w:eastAsia="新細明體" w:hAnsi="Arial" w:cs="Times New Roman"/>
          <w:sz w:val="28"/>
          <w:szCs w:val="24"/>
          <w:lang w:val="en-GB" w:eastAsia="zh-TW"/>
        </w:rPr>
        <w:t xml:space="preserve">under </w:t>
      </w:r>
      <w:r w:rsidRPr="00D302E7">
        <w:rPr>
          <w:rFonts w:ascii="Arial" w:eastAsia="新細明體" w:hAnsi="Arial" w:cs="Times New Roman"/>
          <w:sz w:val="28"/>
          <w:szCs w:val="24"/>
          <w:lang w:val="en-GB" w:eastAsia="zh-TW"/>
        </w:rPr>
        <w:t xml:space="preserve">paragraph 2 of Article 2 </w:t>
      </w:r>
      <w:r w:rsidR="00DB5E29" w:rsidRPr="00D302E7">
        <w:rPr>
          <w:rFonts w:ascii="Arial" w:eastAsia="新細明體" w:hAnsi="Arial" w:cs="Times New Roman"/>
          <w:sz w:val="28"/>
          <w:szCs w:val="24"/>
          <w:lang w:val="en-GB" w:eastAsia="zh-TW"/>
        </w:rPr>
        <w:t xml:space="preserve">(Definitions) </w:t>
      </w:r>
      <w:r w:rsidR="00476046" w:rsidRPr="00D302E7">
        <w:rPr>
          <w:rFonts w:ascii="Arial" w:eastAsia="新細明體" w:hAnsi="Arial" w:cs="Times New Roman"/>
          <w:sz w:val="28"/>
          <w:szCs w:val="24"/>
          <w:lang w:val="en-GB" w:eastAsia="zh-TW"/>
        </w:rPr>
        <w:t>of</w:t>
      </w:r>
      <w:r w:rsidRPr="00D302E7">
        <w:rPr>
          <w:rFonts w:ascii="Arial" w:eastAsia="新細明體" w:hAnsi="Arial" w:cs="Times New Roman"/>
          <w:sz w:val="28"/>
          <w:szCs w:val="24"/>
          <w:lang w:val="en-GB" w:eastAsia="zh-TW"/>
        </w:rPr>
        <w:t xml:space="preserve"> this Agreement if the following conditions are fulfilled:</w:t>
      </w:r>
    </w:p>
    <w:p w:rsidR="00CB7DF7" w:rsidRPr="00D302E7" w:rsidRDefault="00CB7DF7"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271" w:left="1416" w:hanging="84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1.1.</w:t>
      </w:r>
      <w:r w:rsidR="007D0EAB" w:rsidRPr="00D302E7">
        <w:rPr>
          <w:rFonts w:ascii="Arial" w:eastAsiaTheme="minorEastAsia" w:hAnsi="Arial" w:cs="Arial"/>
          <w:sz w:val="28"/>
          <w:szCs w:val="28"/>
          <w:lang w:val="en-GB" w:eastAsia="zh-HK"/>
        </w:rPr>
        <w:tab/>
      </w:r>
      <w:r w:rsidR="00476046" w:rsidRPr="00D302E7">
        <w:rPr>
          <w:rFonts w:ascii="Arial" w:eastAsiaTheme="minorEastAsia" w:hAnsi="Arial" w:cs="Arial"/>
          <w:sz w:val="28"/>
          <w:szCs w:val="28"/>
          <w:lang w:val="en-GB" w:eastAsia="zh-HK"/>
        </w:rPr>
        <w:t>b</w:t>
      </w:r>
      <w:r w:rsidRPr="00D302E7">
        <w:rPr>
          <w:rFonts w:ascii="Arial" w:eastAsiaTheme="minorEastAsia" w:hAnsi="Arial" w:cs="Arial"/>
          <w:sz w:val="28"/>
          <w:szCs w:val="28"/>
          <w:lang w:val="en-GB" w:eastAsia="zh-HK"/>
        </w:rPr>
        <w:t xml:space="preserve">e incorporated or established pursuant to the Companies Ordinance or other relevant laws of </w:t>
      </w:r>
      <w:r w:rsidR="006E7B6E">
        <w:rPr>
          <w:rFonts w:ascii="Arial" w:eastAsiaTheme="minorEastAsia" w:hAnsi="Arial" w:cs="Arial" w:hint="eastAsia"/>
          <w:sz w:val="28"/>
          <w:szCs w:val="28"/>
          <w:lang w:val="en-GB" w:eastAsia="zh-HK"/>
        </w:rPr>
        <w:t xml:space="preserve">the </w:t>
      </w:r>
      <w:r w:rsidRPr="00D302E7">
        <w:rPr>
          <w:rFonts w:ascii="Arial" w:eastAsiaTheme="minorEastAsia" w:hAnsi="Arial" w:cs="Arial"/>
          <w:sz w:val="28"/>
          <w:szCs w:val="28"/>
          <w:lang w:val="en-GB" w:eastAsia="zh-HK"/>
        </w:rPr>
        <w:t>Hong Kong</w:t>
      </w:r>
      <w:r w:rsidR="00CA7076" w:rsidRPr="00D302E7">
        <w:rPr>
          <w:rFonts w:ascii="Arial" w:eastAsiaTheme="minorEastAsia" w:hAnsi="Arial" w:cs="Arial"/>
          <w:sz w:val="28"/>
          <w:szCs w:val="28"/>
          <w:lang w:val="en-GB" w:eastAsia="zh-HK"/>
        </w:rPr>
        <w:t xml:space="preserve"> Special Administrative Region</w:t>
      </w:r>
      <w:r w:rsidR="009A2CF7">
        <w:rPr>
          <w:rStyle w:val="a7"/>
          <w:rFonts w:ascii="Arial" w:eastAsiaTheme="minorEastAsia" w:hAnsi="Arial" w:cs="Arial" w:hint="eastAsia"/>
          <w:sz w:val="28"/>
          <w:szCs w:val="28"/>
          <w:lang w:val="en-GB" w:eastAsia="zh-HK"/>
        </w:rPr>
        <w:footnoteReference w:customMarkFollows="1" w:id="2"/>
        <w:t>②</w:t>
      </w:r>
      <w:r w:rsidRPr="00D302E7">
        <w:rPr>
          <w:rFonts w:ascii="Arial" w:eastAsiaTheme="minorEastAsia" w:hAnsi="Arial" w:cs="Arial"/>
          <w:sz w:val="28"/>
          <w:szCs w:val="28"/>
          <w:lang w:val="en-GB" w:eastAsia="zh-HK"/>
        </w:rPr>
        <w:t>, and have obtained a valid Business Registration Certificate; and</w:t>
      </w:r>
    </w:p>
    <w:p w:rsidR="00CB7DF7" w:rsidRPr="00D302E7" w:rsidRDefault="00CB7DF7"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271" w:left="1416" w:hanging="84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1.2.</w:t>
      </w:r>
      <w:r w:rsidR="007D0EAB" w:rsidRPr="00D302E7">
        <w:rPr>
          <w:rFonts w:ascii="Arial" w:eastAsiaTheme="minorEastAsia" w:hAnsi="Arial" w:cs="Arial"/>
          <w:sz w:val="28"/>
          <w:szCs w:val="28"/>
          <w:lang w:val="en-GB" w:eastAsia="zh-HK"/>
        </w:rPr>
        <w:tab/>
      </w:r>
      <w:r w:rsidR="005A16D4" w:rsidRPr="00D302E7">
        <w:rPr>
          <w:rFonts w:ascii="Arial" w:eastAsiaTheme="minorEastAsia" w:hAnsi="Arial" w:cs="Arial"/>
          <w:sz w:val="28"/>
          <w:szCs w:val="28"/>
          <w:lang w:val="en-GB" w:eastAsia="zh-HK"/>
        </w:rPr>
        <w:t>e</w:t>
      </w:r>
      <w:r w:rsidRPr="00D302E7">
        <w:rPr>
          <w:rFonts w:ascii="Arial" w:eastAsiaTheme="minorEastAsia" w:hAnsi="Arial" w:cs="Arial"/>
          <w:sz w:val="28"/>
          <w:szCs w:val="28"/>
          <w:lang w:val="en-GB" w:eastAsia="zh-HK"/>
        </w:rPr>
        <w:t>ngage in substantive business operations in Hong Kong.  The criteria for determination are:</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(1)</w:t>
      </w:r>
      <w:r w:rsidR="007D0EAB"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Years of operation required</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A Hong Kong investor should be incorporated or established in Hong Kong, and have engaged in </w:t>
      </w:r>
      <w:r w:rsidRPr="00D302E7">
        <w:rPr>
          <w:rFonts w:ascii="Arial" w:eastAsiaTheme="minorEastAsia" w:hAnsi="Arial" w:cs="Arial"/>
          <w:sz w:val="28"/>
          <w:szCs w:val="28"/>
          <w:lang w:val="en-GB" w:eastAsia="zh-HK"/>
        </w:rPr>
        <w:lastRenderedPageBreak/>
        <w:t>substantive business operations for 3 years or more</w:t>
      </w:r>
      <w:r w:rsidR="009A2CF7">
        <w:rPr>
          <w:rStyle w:val="a7"/>
          <w:rFonts w:ascii="Arial" w:eastAsiaTheme="minorEastAsia" w:hAnsi="Arial" w:cs="Arial" w:hint="eastAsia"/>
          <w:sz w:val="28"/>
          <w:szCs w:val="28"/>
          <w:lang w:val="en-GB" w:eastAsia="zh-HK"/>
        </w:rPr>
        <w:footnoteReference w:customMarkFollows="1" w:id="3"/>
        <w:t>③</w:t>
      </w:r>
      <w:r w:rsidRPr="00D302E7">
        <w:rPr>
          <w:rFonts w:ascii="Arial" w:eastAsiaTheme="minorEastAsia" w:hAnsi="Arial" w:cs="Arial"/>
          <w:sz w:val="28"/>
          <w:szCs w:val="28"/>
          <w:lang w:val="en-GB" w:eastAsia="zh-HK"/>
        </w:rPr>
        <w:t>;</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(2)</w:t>
      </w:r>
      <w:r w:rsidR="007D0EAB"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Profits tax</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During the period of substantive business operations in Hong Kong, a Hong Kong investor should have paid profits tax in accordance with the law</w:t>
      </w:r>
      <w:r w:rsidR="006E7B6E">
        <w:rPr>
          <w:rFonts w:ascii="Arial" w:eastAsiaTheme="minorEastAsia" w:hAnsi="Arial" w:cs="Arial" w:hint="eastAsia"/>
          <w:sz w:val="28"/>
          <w:szCs w:val="28"/>
          <w:lang w:val="en-GB" w:eastAsia="zh-HK"/>
        </w:rPr>
        <w:t>s</w:t>
      </w:r>
      <w:r w:rsidRPr="00D302E7">
        <w:rPr>
          <w:rFonts w:ascii="Arial" w:eastAsiaTheme="minorEastAsia" w:hAnsi="Arial" w:cs="Arial"/>
          <w:sz w:val="28"/>
          <w:szCs w:val="28"/>
          <w:lang w:val="en-GB" w:eastAsia="zh-HK"/>
        </w:rPr>
        <w:t>;</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(3)</w:t>
      </w:r>
      <w:r w:rsidR="007D0EAB"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Business premises</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A Hong Kong investor should own or rent premises in Hong Kong to engage in substantive business operations.  The scale of its business premises should be commensurate with the scope and the scale of its business in Hong Kong; and</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(4)</w:t>
      </w:r>
      <w:r w:rsidR="007D0EAB"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Employment of staff</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More than 50% of the staff employed in Hong Kong by the Hong Kong investor should be residents staying in Hong Kong without limit of stay, and people from the Mainland staying in Hong Kong on One Way Permit.</w:t>
      </w:r>
    </w:p>
    <w:p w:rsidR="00CB7DF7" w:rsidRPr="00D302E7" w:rsidRDefault="00CB7DF7"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270" w:left="567" w:firstLine="2"/>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For greater certainty, </w:t>
      </w:r>
      <w:r w:rsidR="004D26FD" w:rsidRPr="00D302E7">
        <w:rPr>
          <w:rFonts w:ascii="Arial" w:eastAsiaTheme="minorEastAsia" w:hAnsi="Arial" w:cs="Arial"/>
          <w:sz w:val="28"/>
          <w:szCs w:val="28"/>
          <w:lang w:val="en-GB" w:eastAsia="zh-HK"/>
        </w:rPr>
        <w:t xml:space="preserve">a </w:t>
      </w:r>
      <w:r w:rsidRPr="00D302E7">
        <w:rPr>
          <w:rFonts w:ascii="Arial" w:eastAsiaTheme="minorEastAsia" w:hAnsi="Arial" w:cs="Arial"/>
          <w:sz w:val="28"/>
          <w:szCs w:val="28"/>
          <w:lang w:val="en-GB" w:eastAsia="zh-HK"/>
        </w:rPr>
        <w:t xml:space="preserve">Hong Kong enterprise investing in the Mainland in </w:t>
      </w:r>
      <w:r w:rsidR="004D26FD" w:rsidRPr="00D302E7">
        <w:rPr>
          <w:rFonts w:ascii="Arial" w:eastAsiaTheme="minorEastAsia" w:hAnsi="Arial" w:cs="Arial"/>
          <w:sz w:val="28"/>
          <w:szCs w:val="28"/>
          <w:lang w:val="en-GB" w:eastAsia="zh-HK"/>
        </w:rPr>
        <w:t xml:space="preserve">any </w:t>
      </w:r>
      <w:r w:rsidRPr="00D302E7">
        <w:rPr>
          <w:rFonts w:ascii="Arial" w:eastAsiaTheme="minorEastAsia" w:hAnsi="Arial" w:cs="Arial"/>
          <w:sz w:val="28"/>
          <w:szCs w:val="28"/>
          <w:lang w:val="en-GB" w:eastAsia="zh-HK"/>
        </w:rPr>
        <w:t>form</w:t>
      </w:r>
      <w:r w:rsidR="006E7B6E">
        <w:rPr>
          <w:rFonts w:ascii="Arial" w:eastAsiaTheme="minorEastAsia" w:hAnsi="Arial" w:cs="Arial" w:hint="eastAsia"/>
          <w:sz w:val="28"/>
          <w:szCs w:val="28"/>
          <w:lang w:val="en-GB" w:eastAsia="zh-HK"/>
        </w:rPr>
        <w:t>s</w:t>
      </w:r>
      <w:r w:rsidRPr="00D302E7">
        <w:rPr>
          <w:rFonts w:ascii="Arial" w:eastAsiaTheme="minorEastAsia" w:hAnsi="Arial" w:cs="Arial"/>
          <w:sz w:val="28"/>
          <w:szCs w:val="28"/>
          <w:lang w:val="en-GB" w:eastAsia="zh-HK"/>
        </w:rPr>
        <w:t xml:space="preserve"> </w:t>
      </w:r>
      <w:r w:rsidR="006E7B6E">
        <w:rPr>
          <w:rFonts w:ascii="Arial" w:eastAsiaTheme="minorEastAsia" w:hAnsi="Arial" w:cs="Arial" w:hint="eastAsia"/>
          <w:sz w:val="28"/>
          <w:szCs w:val="28"/>
          <w:lang w:val="en-GB" w:eastAsia="zh-HK"/>
        </w:rPr>
        <w:t xml:space="preserve">other </w:t>
      </w:r>
      <w:r w:rsidR="004D26FD" w:rsidRPr="00D302E7">
        <w:rPr>
          <w:rFonts w:ascii="Arial" w:eastAsiaTheme="minorEastAsia" w:hAnsi="Arial" w:cs="Arial"/>
          <w:sz w:val="28"/>
          <w:szCs w:val="28"/>
          <w:lang w:val="en-GB" w:eastAsia="zh-HK"/>
        </w:rPr>
        <w:t>than</w:t>
      </w:r>
      <w:r w:rsidRPr="00D302E7">
        <w:rPr>
          <w:rFonts w:ascii="Arial" w:eastAsiaTheme="minorEastAsia" w:hAnsi="Arial" w:cs="Arial"/>
          <w:sz w:val="28"/>
          <w:szCs w:val="28"/>
          <w:lang w:val="en-GB" w:eastAsia="zh-HK"/>
        </w:rPr>
        <w:t xml:space="preserve"> commercial presence </w:t>
      </w:r>
      <w:r w:rsidR="006E7B6E">
        <w:rPr>
          <w:rFonts w:ascii="Arial" w:eastAsiaTheme="minorEastAsia" w:hAnsi="Arial" w:cs="Arial" w:hint="eastAsia"/>
          <w:sz w:val="28"/>
          <w:szCs w:val="28"/>
          <w:lang w:val="en-GB" w:eastAsia="zh-HK"/>
        </w:rPr>
        <w:t xml:space="preserve">does not </w:t>
      </w:r>
      <w:r w:rsidR="006E7B6E">
        <w:rPr>
          <w:rFonts w:ascii="Arial" w:eastAsiaTheme="minorEastAsia" w:hAnsi="Arial" w:cs="Arial" w:hint="eastAsia"/>
          <w:sz w:val="28"/>
          <w:szCs w:val="28"/>
          <w:lang w:val="en-GB" w:eastAsia="zh-HK"/>
        </w:rPr>
        <w:lastRenderedPageBreak/>
        <w:t>need to fulfil</w:t>
      </w:r>
      <w:r w:rsidRPr="00D302E7">
        <w:rPr>
          <w:rFonts w:ascii="Arial" w:eastAsiaTheme="minorEastAsia" w:hAnsi="Arial" w:cs="Arial"/>
          <w:sz w:val="28"/>
          <w:szCs w:val="28"/>
          <w:lang w:val="en-GB" w:eastAsia="zh-HK"/>
        </w:rPr>
        <w:t xml:space="preserve"> the conditions as </w:t>
      </w:r>
      <w:r w:rsidR="005D7D27" w:rsidRPr="00D302E7">
        <w:rPr>
          <w:rFonts w:ascii="Arial" w:eastAsiaTheme="minorEastAsia" w:hAnsi="Arial" w:cs="Arial"/>
          <w:sz w:val="28"/>
          <w:szCs w:val="28"/>
          <w:lang w:val="en-GB" w:eastAsia="zh-HK"/>
        </w:rPr>
        <w:t>stipulated in Articles 1.1 and 1.2.</w:t>
      </w:r>
    </w:p>
    <w:p w:rsidR="00CB7DF7" w:rsidRPr="00D302E7" w:rsidRDefault="00CB7DF7" w:rsidP="00A23825">
      <w:pPr>
        <w:pStyle w:val="1"/>
        <w:snapToGrid w:val="0"/>
        <w:spacing w:line="360" w:lineRule="auto"/>
        <w:jc w:val="both"/>
        <w:rPr>
          <w:rFonts w:ascii="Arial" w:eastAsiaTheme="minorEastAsia" w:hAnsi="Arial" w:cs="Arial"/>
          <w:b/>
          <w:sz w:val="28"/>
          <w:szCs w:val="28"/>
          <w:lang w:val="en-GB" w:eastAsia="zh-HK"/>
        </w:rPr>
      </w:pPr>
    </w:p>
    <w:p w:rsidR="00CB7DF7" w:rsidRPr="00D302E7" w:rsidRDefault="00CB7DF7" w:rsidP="00A23825">
      <w:pPr>
        <w:spacing w:line="360" w:lineRule="auto"/>
        <w:rPr>
          <w:rFonts w:ascii="Arial" w:eastAsia="新細明體" w:hAnsi="Arial" w:cs="Times New Roman"/>
          <w:sz w:val="28"/>
          <w:szCs w:val="24"/>
          <w:lang w:val="en-GB" w:eastAsia="zh-TW"/>
        </w:rPr>
      </w:pPr>
      <w:r w:rsidRPr="00D302E7">
        <w:rPr>
          <w:rFonts w:ascii="Arial" w:eastAsia="新細明體" w:hAnsi="Arial" w:cs="Times New Roman"/>
          <w:sz w:val="28"/>
          <w:szCs w:val="24"/>
          <w:lang w:val="en-GB" w:eastAsia="zh-TW"/>
        </w:rPr>
        <w:t>2.</w:t>
      </w:r>
      <w:r w:rsidRPr="00D302E7">
        <w:rPr>
          <w:rFonts w:ascii="Arial" w:eastAsia="新細明體" w:hAnsi="Arial" w:cs="Times New Roman"/>
          <w:sz w:val="28"/>
          <w:szCs w:val="24"/>
          <w:lang w:val="en-GB" w:eastAsia="zh-TW"/>
        </w:rPr>
        <w:tab/>
        <w:t xml:space="preserve">Unless otherwise </w:t>
      </w:r>
      <w:r w:rsidR="006E7B6E">
        <w:rPr>
          <w:rFonts w:ascii="Arial" w:eastAsia="新細明體" w:hAnsi="Arial" w:cs="Times New Roman" w:hint="eastAsia"/>
          <w:sz w:val="28"/>
          <w:szCs w:val="24"/>
          <w:lang w:val="en-GB" w:eastAsia="zh-TW"/>
        </w:rPr>
        <w:t>provided</w:t>
      </w:r>
      <w:r w:rsidR="006E7B6E" w:rsidRPr="00D302E7">
        <w:rPr>
          <w:rFonts w:ascii="Arial" w:eastAsia="新細明體" w:hAnsi="Arial" w:cs="Times New Roman"/>
          <w:sz w:val="28"/>
          <w:szCs w:val="24"/>
          <w:lang w:val="en-GB" w:eastAsia="zh-TW"/>
        </w:rPr>
        <w:t xml:space="preserve"> </w:t>
      </w:r>
      <w:r w:rsidRPr="00D302E7">
        <w:rPr>
          <w:rFonts w:ascii="Arial" w:eastAsia="新細明體" w:hAnsi="Arial" w:cs="Times New Roman"/>
          <w:sz w:val="28"/>
          <w:szCs w:val="24"/>
          <w:lang w:val="en-GB" w:eastAsia="zh-TW"/>
        </w:rPr>
        <w:t xml:space="preserve">in this Agreement and its Annexes, </w:t>
      </w:r>
      <w:r w:rsidR="005D7D27" w:rsidRPr="00D302E7">
        <w:rPr>
          <w:rFonts w:ascii="Arial" w:eastAsia="新細明體" w:hAnsi="Arial" w:cs="Times New Roman"/>
          <w:sz w:val="28"/>
          <w:szCs w:val="24"/>
          <w:lang w:val="en-GB" w:eastAsia="zh-TW"/>
        </w:rPr>
        <w:t xml:space="preserve">a </w:t>
      </w:r>
      <w:r w:rsidRPr="00D302E7">
        <w:rPr>
          <w:rFonts w:ascii="Arial" w:eastAsia="新細明體" w:hAnsi="Arial" w:cs="Times New Roman"/>
          <w:sz w:val="28"/>
          <w:szCs w:val="24"/>
          <w:lang w:val="en-GB" w:eastAsia="zh-TW"/>
        </w:rPr>
        <w:t>Hong Kong natural person investing in the Main</w:t>
      </w:r>
      <w:r w:rsidR="005D7D27" w:rsidRPr="00D302E7">
        <w:rPr>
          <w:rFonts w:ascii="Arial" w:eastAsia="新細明體" w:hAnsi="Arial" w:cs="Times New Roman"/>
          <w:sz w:val="28"/>
          <w:szCs w:val="24"/>
          <w:lang w:val="en-GB" w:eastAsia="zh-TW"/>
        </w:rPr>
        <w:t>land shall constitute “investor</w:t>
      </w:r>
      <w:r w:rsidRPr="00D302E7">
        <w:rPr>
          <w:rFonts w:ascii="Arial" w:eastAsia="新細明體" w:hAnsi="Arial" w:cs="Times New Roman"/>
          <w:sz w:val="28"/>
          <w:szCs w:val="24"/>
          <w:lang w:val="en-GB" w:eastAsia="zh-TW"/>
        </w:rPr>
        <w:t xml:space="preserve">” </w:t>
      </w:r>
      <w:r w:rsidR="000072BD" w:rsidRPr="00D302E7">
        <w:rPr>
          <w:rFonts w:ascii="Arial" w:eastAsia="新細明體" w:hAnsi="Arial" w:cs="Times New Roman"/>
          <w:sz w:val="28"/>
          <w:szCs w:val="24"/>
          <w:lang w:val="en-GB" w:eastAsia="zh-TW"/>
        </w:rPr>
        <w:t xml:space="preserve">under </w:t>
      </w:r>
      <w:r w:rsidRPr="00D302E7">
        <w:rPr>
          <w:rFonts w:ascii="Arial" w:eastAsia="新細明體" w:hAnsi="Arial" w:cs="Times New Roman"/>
          <w:sz w:val="28"/>
          <w:szCs w:val="24"/>
          <w:lang w:val="en-GB" w:eastAsia="zh-TW"/>
        </w:rPr>
        <w:t xml:space="preserve">paragraph 2 of Article 2 </w:t>
      </w:r>
      <w:r w:rsidR="00A903E2" w:rsidRPr="00D302E7">
        <w:rPr>
          <w:rFonts w:ascii="Arial" w:eastAsia="新細明體" w:hAnsi="Arial" w:cs="Times New Roman"/>
          <w:sz w:val="28"/>
          <w:szCs w:val="24"/>
          <w:lang w:val="en-GB" w:eastAsia="zh-TW"/>
        </w:rPr>
        <w:t xml:space="preserve">(Definitions) </w:t>
      </w:r>
      <w:r w:rsidR="000072BD" w:rsidRPr="00D302E7">
        <w:rPr>
          <w:rFonts w:ascii="Arial" w:eastAsia="新細明體" w:hAnsi="Arial" w:cs="Times New Roman"/>
          <w:sz w:val="28"/>
          <w:szCs w:val="24"/>
          <w:lang w:val="en-GB" w:eastAsia="zh-TW"/>
        </w:rPr>
        <w:t>of</w:t>
      </w:r>
      <w:r w:rsidRPr="00D302E7">
        <w:rPr>
          <w:rFonts w:ascii="Arial" w:eastAsia="新細明體" w:hAnsi="Arial" w:cs="Times New Roman"/>
          <w:sz w:val="28"/>
          <w:szCs w:val="24"/>
          <w:lang w:val="en-GB" w:eastAsia="zh-TW"/>
        </w:rPr>
        <w:t xml:space="preserve"> this Agreement only if </w:t>
      </w:r>
      <w:r w:rsidR="005D7D27" w:rsidRPr="00D302E7">
        <w:rPr>
          <w:rFonts w:ascii="Arial" w:eastAsia="新細明體" w:hAnsi="Arial" w:cs="Times New Roman"/>
          <w:sz w:val="28"/>
          <w:szCs w:val="24"/>
          <w:lang w:val="en-GB" w:eastAsia="zh-TW"/>
        </w:rPr>
        <w:t>he or she is a permanent resident</w:t>
      </w:r>
      <w:r w:rsidRPr="00D302E7">
        <w:rPr>
          <w:rFonts w:ascii="Arial" w:eastAsia="新細明體" w:hAnsi="Arial" w:cs="Times New Roman"/>
          <w:sz w:val="28"/>
          <w:szCs w:val="24"/>
          <w:lang w:val="en-GB" w:eastAsia="zh-TW"/>
        </w:rPr>
        <w:t xml:space="preserve"> of the Hong Kong Special Administrative Region of the People’s Republic of China.</w:t>
      </w:r>
    </w:p>
    <w:p w:rsidR="00CB7DF7" w:rsidRPr="00D302E7" w:rsidRDefault="00CB7DF7" w:rsidP="00A23825">
      <w:pPr>
        <w:snapToGrid w:val="0"/>
        <w:spacing w:line="360" w:lineRule="auto"/>
        <w:rPr>
          <w:rFonts w:ascii="Arial" w:hAnsi="Arial" w:cs="Arial"/>
          <w:sz w:val="28"/>
          <w:szCs w:val="28"/>
          <w:lang w:val="en-GB" w:eastAsia="zh-HK"/>
        </w:rPr>
      </w:pPr>
    </w:p>
    <w:p w:rsidR="00CB7DF7" w:rsidRPr="00D302E7" w:rsidRDefault="00CB7DF7" w:rsidP="00A23825">
      <w:pPr>
        <w:spacing w:line="360" w:lineRule="auto"/>
        <w:rPr>
          <w:rFonts w:ascii="Arial" w:eastAsia="新細明體" w:hAnsi="Arial" w:cs="Times New Roman"/>
          <w:sz w:val="28"/>
          <w:szCs w:val="24"/>
          <w:lang w:val="en-GB" w:eastAsia="zh-TW"/>
        </w:rPr>
      </w:pPr>
      <w:r w:rsidRPr="00D302E7">
        <w:rPr>
          <w:rFonts w:ascii="Arial" w:eastAsia="新細明體" w:hAnsi="Arial" w:cs="Times New Roman"/>
          <w:sz w:val="28"/>
          <w:szCs w:val="24"/>
          <w:lang w:val="en-GB" w:eastAsia="zh-TW"/>
        </w:rPr>
        <w:t>3.</w:t>
      </w:r>
      <w:r w:rsidRPr="00D302E7">
        <w:rPr>
          <w:rFonts w:ascii="Arial" w:eastAsia="新細明體" w:hAnsi="Arial" w:cs="Times New Roman"/>
          <w:sz w:val="28"/>
          <w:szCs w:val="24"/>
          <w:lang w:val="en-GB" w:eastAsia="zh-TW"/>
        </w:rPr>
        <w:tab/>
        <w:t xml:space="preserve">To become a qualified “investor” </w:t>
      </w:r>
      <w:r w:rsidR="000072BD" w:rsidRPr="00D302E7">
        <w:rPr>
          <w:rFonts w:ascii="Arial" w:eastAsia="新細明體" w:hAnsi="Arial" w:cs="Times New Roman"/>
          <w:sz w:val="28"/>
          <w:szCs w:val="24"/>
          <w:lang w:val="en-GB" w:eastAsia="zh-TW"/>
        </w:rPr>
        <w:t xml:space="preserve">under </w:t>
      </w:r>
      <w:r w:rsidRPr="00D302E7">
        <w:rPr>
          <w:rFonts w:ascii="Arial" w:eastAsia="新細明體" w:hAnsi="Arial" w:cs="Times New Roman"/>
          <w:sz w:val="28"/>
          <w:szCs w:val="24"/>
          <w:lang w:val="en-GB" w:eastAsia="zh-TW"/>
        </w:rPr>
        <w:t>paragraph 2 of Article 2</w:t>
      </w:r>
      <w:r w:rsidR="00A903E2" w:rsidRPr="00D302E7">
        <w:rPr>
          <w:rFonts w:ascii="Arial" w:eastAsia="新細明體" w:hAnsi="Arial" w:cs="Times New Roman"/>
          <w:sz w:val="28"/>
          <w:szCs w:val="24"/>
          <w:lang w:val="en-GB" w:eastAsia="zh-TW"/>
        </w:rPr>
        <w:t xml:space="preserve"> (Definitions)</w:t>
      </w:r>
      <w:r w:rsidRPr="00D302E7">
        <w:rPr>
          <w:rFonts w:ascii="Arial" w:eastAsia="新細明體" w:hAnsi="Arial" w:cs="Times New Roman"/>
          <w:sz w:val="28"/>
          <w:szCs w:val="24"/>
          <w:lang w:val="en-GB" w:eastAsia="zh-TW"/>
        </w:rPr>
        <w:t xml:space="preserve"> </w:t>
      </w:r>
      <w:r w:rsidR="000072BD" w:rsidRPr="00D302E7">
        <w:rPr>
          <w:rFonts w:ascii="Arial" w:eastAsia="新細明體" w:hAnsi="Arial" w:cs="Times New Roman"/>
          <w:sz w:val="28"/>
          <w:szCs w:val="24"/>
          <w:lang w:val="en-GB" w:eastAsia="zh-TW"/>
        </w:rPr>
        <w:t>of</w:t>
      </w:r>
      <w:r w:rsidRPr="00D302E7">
        <w:rPr>
          <w:rFonts w:ascii="Arial" w:eastAsia="新細明體" w:hAnsi="Arial" w:cs="Times New Roman"/>
          <w:sz w:val="28"/>
          <w:szCs w:val="24"/>
          <w:lang w:val="en-GB" w:eastAsia="zh-TW"/>
        </w:rPr>
        <w:t xml:space="preserve"> this Agreement, a Hong Kong investor applying to invest in the Mainland in the form of commercial presence in accordance with this Agreement should meet the following requirements:</w:t>
      </w:r>
    </w:p>
    <w:p w:rsidR="00CB7DF7" w:rsidRPr="00D302E7" w:rsidRDefault="00CB7DF7"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271" w:left="1416" w:hanging="84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3.1.</w:t>
      </w:r>
      <w:r w:rsidR="007D0EAB"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 xml:space="preserve">A Hong Kong investor in the form of </w:t>
      </w:r>
      <w:r w:rsidR="006E7B6E">
        <w:rPr>
          <w:rFonts w:ascii="Arial" w:eastAsiaTheme="minorEastAsia" w:hAnsi="Arial" w:cs="Arial" w:hint="eastAsia"/>
          <w:sz w:val="28"/>
          <w:szCs w:val="28"/>
          <w:lang w:val="en-GB" w:eastAsia="zh-HK"/>
        </w:rPr>
        <w:t xml:space="preserve">an </w:t>
      </w:r>
      <w:r w:rsidRPr="00D302E7">
        <w:rPr>
          <w:rFonts w:ascii="Arial" w:eastAsiaTheme="minorEastAsia" w:hAnsi="Arial" w:cs="Arial"/>
          <w:sz w:val="28"/>
          <w:szCs w:val="28"/>
          <w:lang w:val="en-GB" w:eastAsia="zh-HK"/>
        </w:rPr>
        <w:t xml:space="preserve">enterprise should submit a certificate issued by the Trade and Industry Department of the Government of the Hong Kong Special Administrative Region (hereinafter referred to as </w:t>
      </w:r>
      <w:r w:rsidR="00B8469C" w:rsidRPr="00D302E7">
        <w:rPr>
          <w:rFonts w:ascii="Arial" w:eastAsiaTheme="minorEastAsia" w:hAnsi="Arial" w:cs="Arial"/>
          <w:sz w:val="28"/>
          <w:szCs w:val="28"/>
          <w:lang w:val="en-GB" w:eastAsia="zh-HK"/>
        </w:rPr>
        <w:t xml:space="preserve">the </w:t>
      </w:r>
      <w:r w:rsidRPr="00D302E7">
        <w:rPr>
          <w:rFonts w:ascii="Arial" w:eastAsiaTheme="minorEastAsia" w:hAnsi="Arial" w:cs="Arial"/>
          <w:sz w:val="28"/>
          <w:szCs w:val="28"/>
          <w:lang w:val="en-GB" w:eastAsia="zh-HK"/>
        </w:rPr>
        <w:t>“TID</w:t>
      </w:r>
      <w:r w:rsidR="005D7D27" w:rsidRPr="00D302E7">
        <w:rPr>
          <w:rFonts w:ascii="Arial" w:eastAsiaTheme="minorEastAsia" w:hAnsi="Arial" w:cs="Arial"/>
          <w:sz w:val="28"/>
          <w:szCs w:val="28"/>
          <w:lang w:val="en-GB" w:eastAsia="zh-HK"/>
        </w:rPr>
        <w:t>”).  When applying for the</w:t>
      </w:r>
      <w:r w:rsidRPr="00D302E7">
        <w:rPr>
          <w:rFonts w:ascii="Arial" w:eastAsiaTheme="minorEastAsia" w:hAnsi="Arial" w:cs="Arial"/>
          <w:sz w:val="28"/>
          <w:szCs w:val="28"/>
          <w:lang w:val="en-GB" w:eastAsia="zh-HK"/>
        </w:rPr>
        <w:t xml:space="preserve"> certificate, a Hong Kong investor must declare the nature and scope of its business in Hong Kong together with the nature and scope of </w:t>
      </w:r>
      <w:r w:rsidR="006E7B6E">
        <w:rPr>
          <w:rFonts w:ascii="Arial" w:eastAsiaTheme="minorEastAsia" w:hAnsi="Arial" w:cs="Arial" w:hint="eastAsia"/>
          <w:sz w:val="28"/>
          <w:szCs w:val="28"/>
          <w:lang w:val="en-GB" w:eastAsia="zh-HK"/>
        </w:rPr>
        <w:t xml:space="preserve">its </w:t>
      </w:r>
      <w:r w:rsidRPr="00D302E7">
        <w:rPr>
          <w:rFonts w:ascii="Arial" w:eastAsiaTheme="minorEastAsia" w:hAnsi="Arial" w:cs="Arial"/>
          <w:sz w:val="28"/>
          <w:szCs w:val="28"/>
          <w:lang w:val="en-GB" w:eastAsia="zh-HK"/>
        </w:rPr>
        <w:t xml:space="preserve">intended investment in the Mainland, and submit the following documents and information, and the statutory declaration to </w:t>
      </w:r>
      <w:r w:rsidR="00B8469C" w:rsidRPr="00D302E7">
        <w:rPr>
          <w:rFonts w:ascii="Arial" w:eastAsiaTheme="minorEastAsia" w:hAnsi="Arial" w:cs="Arial"/>
          <w:sz w:val="28"/>
          <w:szCs w:val="28"/>
          <w:lang w:val="en-GB" w:eastAsia="zh-HK"/>
        </w:rPr>
        <w:t xml:space="preserve">the </w:t>
      </w:r>
      <w:r w:rsidRPr="00D302E7">
        <w:rPr>
          <w:rFonts w:ascii="Arial" w:eastAsiaTheme="minorEastAsia" w:hAnsi="Arial" w:cs="Arial"/>
          <w:sz w:val="28"/>
          <w:szCs w:val="28"/>
          <w:lang w:val="en-GB" w:eastAsia="zh-HK"/>
        </w:rPr>
        <w:t>TID for examination:</w:t>
      </w:r>
    </w:p>
    <w:p w:rsidR="00CB7DF7" w:rsidRPr="00D302E7" w:rsidRDefault="00CB7DF7"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3.1.1. Documents and information (if applicable)</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1) Copy of the Certificate of Incorporation issued by the Companies Registry of the Hong Kong Special Administrative Region;</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476046"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2) Copies of the Business Registration Certificate of the Hong Kong Special Administrative Region and an Extract of Information in the Register of Businesses;</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3) Annual reports or audited financial statements of the Hong Kong investor for the past 3 years;</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4) Original or copy of document(s) substantiating that the Hong Kong investor owns or rents </w:t>
      </w:r>
      <w:r w:rsidR="00F972F2" w:rsidRPr="00D302E7">
        <w:rPr>
          <w:rFonts w:ascii="Arial" w:eastAsiaTheme="minorEastAsia" w:hAnsi="Arial" w:cs="Arial"/>
          <w:sz w:val="28"/>
          <w:szCs w:val="28"/>
          <w:lang w:val="en-GB" w:eastAsia="zh-HK"/>
        </w:rPr>
        <w:t>business premises in Hong Kong;</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5) Copy of the Profits Tax Returns, Notice of Assessment and Demand for Tax in respect of the Hong Kong investor for the past 3 years; in the event of loss, the Hong Kong investor should provide supporting document(s) from the relevant department of the Hong Kong Special Administrative Region attesting to the loss;</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6) Copy of the Employer’s Return of Remuneration and Pensions of the Hong Kong investor in respect of the remuneration and pension of its employees in Hong Kong, and the original or a copy of other relevant document(s) substantiating that the company fulfils the </w:t>
      </w:r>
      <w:r w:rsidRPr="00D302E7">
        <w:rPr>
          <w:rFonts w:ascii="Arial" w:eastAsiaTheme="minorEastAsia" w:hAnsi="Arial" w:cs="Arial"/>
          <w:sz w:val="28"/>
          <w:szCs w:val="28"/>
          <w:lang w:val="en-GB" w:eastAsia="zh-HK"/>
        </w:rPr>
        <w:lastRenderedPageBreak/>
        <w:t>requirement of Article 1.2(4) of this Annex on the percentage threshold;</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7) Original or copy of other relevant document(s) substantiating that the Hong Kong investor engages in substantive business operations in Hong Kong, such as licences, permits, or confirmation letters issued by relevant authorities or bodies in Hong Kong relevant to the nature and scope of business in Hong Kong as required by the laws of Hong Kong or this Annex.</w:t>
      </w:r>
    </w:p>
    <w:p w:rsidR="00CB7DF7" w:rsidRPr="00D302E7" w:rsidRDefault="00CB7DF7"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3.1.2. Statutory declaration</w:t>
      </w:r>
    </w:p>
    <w:p w:rsidR="00476046" w:rsidRPr="00D302E7" w:rsidRDefault="00476046" w:rsidP="00A23825">
      <w:pPr>
        <w:pStyle w:val="1"/>
        <w:snapToGrid w:val="0"/>
        <w:spacing w:line="360" w:lineRule="auto"/>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For any Hong Kong investor applying to obtain treatment under this Agreement, its authorised representative should make a statutory declaration pursuant to the procedures and requirements of the Oaths and Declarations Ordinance of the Hong Kong Special Administrative Region</w:t>
      </w:r>
      <w:r w:rsidR="009A2CF7">
        <w:rPr>
          <w:rStyle w:val="a7"/>
          <w:rFonts w:ascii="Arial" w:eastAsiaTheme="minorEastAsia" w:hAnsi="Arial" w:cs="Arial" w:hint="eastAsia"/>
          <w:sz w:val="28"/>
          <w:szCs w:val="28"/>
          <w:lang w:val="en-GB" w:eastAsia="zh-HK"/>
        </w:rPr>
        <w:footnoteReference w:customMarkFollows="1" w:id="4"/>
        <w:t>④</w:t>
      </w:r>
      <w:r w:rsidRPr="00D302E7">
        <w:rPr>
          <w:rFonts w:ascii="Arial" w:eastAsiaTheme="minorEastAsia" w:hAnsi="Arial" w:cs="Arial"/>
          <w:sz w:val="28"/>
          <w:szCs w:val="28"/>
          <w:lang w:val="en-GB" w:eastAsia="zh-HK"/>
        </w:rPr>
        <w:t>.  The form of the declaration will be determined by the relevant authorities of the Mainland and the Hong Kong Special Administrative Region through consultation.</w:t>
      </w:r>
    </w:p>
    <w:p w:rsidR="00CB7DF7" w:rsidRDefault="00CB7DF7" w:rsidP="00A23825">
      <w:pPr>
        <w:pStyle w:val="1"/>
        <w:snapToGrid w:val="0"/>
        <w:spacing w:line="360" w:lineRule="auto"/>
        <w:ind w:leftChars="200" w:left="420"/>
        <w:jc w:val="both"/>
        <w:rPr>
          <w:rFonts w:ascii="Arial" w:eastAsiaTheme="minorEastAsia" w:hAnsi="Arial" w:cs="Arial"/>
          <w:sz w:val="28"/>
          <w:szCs w:val="28"/>
          <w:lang w:val="en-GB" w:eastAsia="zh-HK"/>
        </w:rPr>
      </w:pPr>
    </w:p>
    <w:p w:rsidR="009A2CF7" w:rsidRPr="00D302E7" w:rsidRDefault="009A2CF7" w:rsidP="00A23825">
      <w:pPr>
        <w:pStyle w:val="1"/>
        <w:snapToGrid w:val="0"/>
        <w:spacing w:line="360" w:lineRule="auto"/>
        <w:ind w:leftChars="200" w:left="420"/>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3.1.3. Application form for certificate</w:t>
      </w:r>
    </w:p>
    <w:p w:rsidR="00476046" w:rsidRPr="00D302E7" w:rsidRDefault="00476046" w:rsidP="00A23825">
      <w:pPr>
        <w:pStyle w:val="1"/>
        <w:snapToGrid w:val="0"/>
        <w:spacing w:line="360" w:lineRule="auto"/>
        <w:ind w:leftChars="200" w:left="420"/>
        <w:jc w:val="both"/>
        <w:rPr>
          <w:rFonts w:ascii="Arial" w:eastAsiaTheme="minorEastAsia" w:hAnsi="Arial" w:cs="Arial"/>
          <w:sz w:val="28"/>
          <w:szCs w:val="28"/>
          <w:lang w:val="en-GB" w:eastAsia="zh-HK"/>
        </w:rPr>
      </w:pPr>
    </w:p>
    <w:p w:rsidR="00CB7DF7" w:rsidRPr="00D302E7" w:rsidRDefault="000956AA" w:rsidP="00A23825">
      <w:pPr>
        <w:pStyle w:val="1"/>
        <w:snapToGrid w:val="0"/>
        <w:spacing w:line="360" w:lineRule="auto"/>
        <w:ind w:leftChars="675" w:left="1418"/>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lastRenderedPageBreak/>
        <w:t xml:space="preserve">The </w:t>
      </w:r>
      <w:r w:rsidR="00CB7DF7" w:rsidRPr="00D302E7">
        <w:rPr>
          <w:rFonts w:ascii="Arial" w:eastAsiaTheme="minorEastAsia" w:hAnsi="Arial" w:cs="Arial"/>
          <w:sz w:val="28"/>
          <w:szCs w:val="28"/>
          <w:lang w:val="en-GB" w:eastAsia="zh-HK"/>
        </w:rPr>
        <w:t xml:space="preserve">TID may, in the circumstances it considers necessary, entrust other government departments of the Hong Kong Special Administrative Region, statutory bodies, or independent professional institutions (personnel) to conduct verification.  </w:t>
      </w:r>
      <w:r w:rsidRPr="00D302E7">
        <w:rPr>
          <w:rFonts w:ascii="Arial" w:eastAsiaTheme="minorEastAsia" w:hAnsi="Arial" w:cs="Arial"/>
          <w:sz w:val="28"/>
          <w:szCs w:val="28"/>
          <w:lang w:val="en-GB" w:eastAsia="zh-HK"/>
        </w:rPr>
        <w:t xml:space="preserve">The </w:t>
      </w:r>
      <w:r w:rsidR="00CB7DF7" w:rsidRPr="00D302E7">
        <w:rPr>
          <w:rFonts w:ascii="Arial" w:eastAsiaTheme="minorEastAsia" w:hAnsi="Arial" w:cs="Arial"/>
          <w:sz w:val="28"/>
          <w:szCs w:val="28"/>
          <w:lang w:val="en-GB" w:eastAsia="zh-HK"/>
        </w:rPr>
        <w:t xml:space="preserve">TID will issue a certificate to an applicant that it considers to have fulfilled the criteria of Hong Kong investor as required under this Annex. The contents and form of the certificate will be determined by the relevant authorities of the Mainland and the Hong Kong Special Administrative Region through consultation.  The relevant authorities of the Mainland and the Hong Kong Special Administrative Region may discuss and announce circumstances that allow the exemption of </w:t>
      </w:r>
      <w:r w:rsidR="006E7B6E">
        <w:rPr>
          <w:rFonts w:ascii="Arial" w:eastAsiaTheme="minorEastAsia" w:hAnsi="Arial" w:cs="Arial" w:hint="eastAsia"/>
          <w:sz w:val="28"/>
          <w:szCs w:val="28"/>
          <w:lang w:val="en-GB" w:eastAsia="zh-HK"/>
        </w:rPr>
        <w:t xml:space="preserve">such </w:t>
      </w:r>
      <w:r w:rsidR="00CB7DF7" w:rsidRPr="00D302E7">
        <w:rPr>
          <w:rFonts w:ascii="Arial" w:eastAsiaTheme="minorEastAsia" w:hAnsi="Arial" w:cs="Arial"/>
          <w:sz w:val="28"/>
          <w:szCs w:val="28"/>
          <w:lang w:val="en-GB" w:eastAsia="zh-HK"/>
        </w:rPr>
        <w:t>certificate.</w:t>
      </w:r>
    </w:p>
    <w:p w:rsidR="00CB7DF7" w:rsidRPr="00D302E7" w:rsidRDefault="00CB7DF7" w:rsidP="00A23825">
      <w:pPr>
        <w:pStyle w:val="1"/>
        <w:snapToGrid w:val="0"/>
        <w:spacing w:line="360" w:lineRule="auto"/>
        <w:ind w:leftChars="100" w:left="210"/>
        <w:jc w:val="both"/>
        <w:rPr>
          <w:rFonts w:ascii="Arial" w:eastAsiaTheme="minorEastAsia" w:hAnsi="Arial" w:cs="Arial"/>
          <w:sz w:val="28"/>
          <w:szCs w:val="28"/>
          <w:lang w:val="en-GB" w:eastAsia="zh-HK"/>
        </w:rPr>
      </w:pPr>
    </w:p>
    <w:p w:rsidR="00CB7DF7" w:rsidRPr="00D302E7" w:rsidRDefault="00CB7DF7" w:rsidP="00A23825">
      <w:pPr>
        <w:pStyle w:val="1"/>
        <w:snapToGrid w:val="0"/>
        <w:spacing w:line="360" w:lineRule="auto"/>
        <w:ind w:leftChars="271" w:left="1416" w:hanging="84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3.2.</w:t>
      </w:r>
      <w:r w:rsidR="007D0EAB"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A Hong Kong investor in the form of a natural person should provide identification of his or her Hong Kong permanent resident status.  For Chinese citizens among such investors, their Home Visit Permit for Hong Kong and Macau Residents or Hong Kong Special Administrative Region passport should also be provided.</w:t>
      </w:r>
    </w:p>
    <w:p w:rsidR="00CB7DF7" w:rsidRPr="00D302E7" w:rsidRDefault="00CB7DF7" w:rsidP="00A23825">
      <w:pPr>
        <w:snapToGrid w:val="0"/>
        <w:spacing w:line="360" w:lineRule="auto"/>
        <w:rPr>
          <w:rFonts w:ascii="Arial" w:hAnsi="Arial" w:cs="Arial"/>
          <w:sz w:val="28"/>
          <w:szCs w:val="28"/>
          <w:lang w:val="en-GB" w:eastAsia="zh-HK"/>
        </w:rPr>
      </w:pPr>
    </w:p>
    <w:p w:rsidR="00CB7DF7" w:rsidRPr="00D302E7" w:rsidRDefault="00CB7DF7" w:rsidP="00A23825">
      <w:pPr>
        <w:spacing w:line="360" w:lineRule="auto"/>
        <w:rPr>
          <w:rFonts w:ascii="Arial" w:eastAsia="新細明體" w:hAnsi="Arial" w:cs="Times New Roman"/>
          <w:sz w:val="28"/>
          <w:szCs w:val="24"/>
          <w:lang w:val="en-GB" w:eastAsia="zh-TW"/>
        </w:rPr>
      </w:pPr>
      <w:r w:rsidRPr="00D302E7">
        <w:rPr>
          <w:rFonts w:ascii="Arial" w:eastAsia="新細明體" w:hAnsi="Arial" w:cs="Times New Roman"/>
          <w:sz w:val="28"/>
          <w:szCs w:val="24"/>
          <w:lang w:val="en-GB" w:eastAsia="zh-TW"/>
        </w:rPr>
        <w:t>4.</w:t>
      </w:r>
      <w:r w:rsidRPr="00D302E7">
        <w:rPr>
          <w:rFonts w:ascii="Arial" w:eastAsia="新細明體" w:hAnsi="Arial" w:cs="Times New Roman"/>
          <w:sz w:val="28"/>
          <w:szCs w:val="24"/>
          <w:lang w:val="en-GB" w:eastAsia="zh-TW"/>
        </w:rPr>
        <w:tab/>
        <w:t xml:space="preserve">To be qualified </w:t>
      </w:r>
      <w:r w:rsidR="006E7B6E">
        <w:rPr>
          <w:rFonts w:ascii="Arial" w:eastAsia="新細明體" w:hAnsi="Arial" w:cs="Times New Roman" w:hint="eastAsia"/>
          <w:sz w:val="28"/>
          <w:szCs w:val="24"/>
          <w:lang w:val="en-GB" w:eastAsia="zh-TW"/>
        </w:rPr>
        <w:t xml:space="preserve">as an </w:t>
      </w:r>
      <w:r w:rsidRPr="00D302E7">
        <w:rPr>
          <w:rFonts w:ascii="Arial" w:eastAsia="新細明體" w:hAnsi="Arial" w:cs="Times New Roman"/>
          <w:sz w:val="28"/>
          <w:szCs w:val="24"/>
          <w:lang w:val="en-GB" w:eastAsia="zh-TW"/>
        </w:rPr>
        <w:t xml:space="preserve">“investor” </w:t>
      </w:r>
      <w:r w:rsidR="00461781" w:rsidRPr="00D302E7">
        <w:rPr>
          <w:rFonts w:ascii="Arial" w:eastAsia="新細明體" w:hAnsi="Arial" w:cs="Times New Roman"/>
          <w:sz w:val="28"/>
          <w:szCs w:val="24"/>
          <w:lang w:val="en-GB" w:eastAsia="zh-TW"/>
        </w:rPr>
        <w:t xml:space="preserve">under </w:t>
      </w:r>
      <w:r w:rsidRPr="00D302E7">
        <w:rPr>
          <w:rFonts w:ascii="Arial" w:eastAsia="新細明體" w:hAnsi="Arial" w:cs="Times New Roman"/>
          <w:sz w:val="28"/>
          <w:szCs w:val="24"/>
          <w:lang w:val="en-GB" w:eastAsia="zh-TW"/>
        </w:rPr>
        <w:t xml:space="preserve">paragraph 2 of Article 2 </w:t>
      </w:r>
      <w:r w:rsidR="00A903E2" w:rsidRPr="00D302E7">
        <w:rPr>
          <w:rFonts w:ascii="Arial" w:eastAsia="新細明體" w:hAnsi="Arial" w:cs="Times New Roman"/>
          <w:sz w:val="28"/>
          <w:szCs w:val="24"/>
          <w:lang w:val="en-GB" w:eastAsia="zh-TW"/>
        </w:rPr>
        <w:t xml:space="preserve">(Definitions) </w:t>
      </w:r>
      <w:r w:rsidR="00461781" w:rsidRPr="00D302E7">
        <w:rPr>
          <w:rFonts w:ascii="Arial" w:eastAsia="新細明體" w:hAnsi="Arial" w:cs="Times New Roman"/>
          <w:sz w:val="28"/>
          <w:szCs w:val="24"/>
          <w:lang w:val="en-GB" w:eastAsia="zh-TW"/>
        </w:rPr>
        <w:t>of</w:t>
      </w:r>
      <w:r w:rsidRPr="00D302E7">
        <w:rPr>
          <w:rFonts w:ascii="Arial" w:eastAsia="新細明體" w:hAnsi="Arial" w:cs="Times New Roman"/>
          <w:sz w:val="28"/>
          <w:szCs w:val="24"/>
          <w:lang w:val="en-GB" w:eastAsia="zh-TW"/>
        </w:rPr>
        <w:t xml:space="preserve"> this Agreement, when applying to the Mainland’s </w:t>
      </w:r>
      <w:r w:rsidR="00980585">
        <w:rPr>
          <w:rFonts w:ascii="Arial" w:eastAsia="新細明體" w:hAnsi="Arial" w:cs="Times New Roman" w:hint="eastAsia"/>
          <w:sz w:val="28"/>
          <w:szCs w:val="24"/>
          <w:lang w:val="en-GB" w:eastAsia="zh-TW"/>
        </w:rPr>
        <w:t>examining</w:t>
      </w:r>
      <w:r w:rsidR="00980585" w:rsidRPr="00D302E7">
        <w:rPr>
          <w:rFonts w:ascii="Arial" w:eastAsia="新細明體" w:hAnsi="Arial" w:cs="Times New Roman"/>
          <w:sz w:val="28"/>
          <w:szCs w:val="24"/>
          <w:lang w:val="en-GB" w:eastAsia="zh-TW"/>
        </w:rPr>
        <w:t xml:space="preserve"> </w:t>
      </w:r>
      <w:r w:rsidRPr="00D302E7">
        <w:rPr>
          <w:rFonts w:ascii="Arial" w:eastAsia="新細明體" w:hAnsi="Arial" w:cs="Times New Roman"/>
          <w:sz w:val="28"/>
          <w:szCs w:val="24"/>
          <w:lang w:val="en-GB" w:eastAsia="zh-TW"/>
        </w:rPr>
        <w:t>authorities to invest in the form of commercial presence under this Agreement, a Hong Kong investor should f</w:t>
      </w:r>
      <w:r w:rsidR="00F972F2" w:rsidRPr="00D302E7">
        <w:rPr>
          <w:rFonts w:ascii="Arial" w:eastAsia="新細明體" w:hAnsi="Arial" w:cs="Times New Roman"/>
          <w:sz w:val="28"/>
          <w:szCs w:val="24"/>
          <w:lang w:val="en-GB" w:eastAsia="zh-TW"/>
        </w:rPr>
        <w:t>ollow the following procedures:</w:t>
      </w:r>
    </w:p>
    <w:p w:rsidR="00CB7DF7" w:rsidRPr="00D302E7" w:rsidRDefault="00CB7DF7" w:rsidP="00A23825">
      <w:pPr>
        <w:snapToGrid w:val="0"/>
        <w:spacing w:line="360" w:lineRule="auto"/>
        <w:rPr>
          <w:rFonts w:ascii="Arial" w:hAnsi="Arial" w:cs="Arial"/>
          <w:sz w:val="28"/>
          <w:szCs w:val="28"/>
          <w:lang w:val="en-GB" w:eastAsia="zh-HK"/>
        </w:rPr>
      </w:pPr>
    </w:p>
    <w:p w:rsidR="00CB7DF7" w:rsidRPr="00D302E7" w:rsidRDefault="00CB7DF7" w:rsidP="00A23825">
      <w:pPr>
        <w:pStyle w:val="1"/>
        <w:snapToGrid w:val="0"/>
        <w:spacing w:line="360" w:lineRule="auto"/>
        <w:ind w:leftChars="271" w:left="1416" w:hanging="84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4.1.</w:t>
      </w:r>
      <w:r w:rsidR="007D0EAB"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When applying to engage in</w:t>
      </w:r>
      <w:r w:rsidR="00980585">
        <w:rPr>
          <w:rFonts w:ascii="Arial" w:eastAsiaTheme="minorEastAsia" w:hAnsi="Arial" w:cs="Arial" w:hint="eastAsia"/>
          <w:sz w:val="28"/>
          <w:szCs w:val="28"/>
          <w:lang w:val="en-GB" w:eastAsia="zh-HK"/>
        </w:rPr>
        <w:t xml:space="preserve"> a</w:t>
      </w:r>
      <w:r w:rsidRPr="00D302E7">
        <w:rPr>
          <w:rFonts w:ascii="Arial" w:eastAsiaTheme="minorEastAsia" w:hAnsi="Arial" w:cs="Arial"/>
          <w:sz w:val="28"/>
          <w:szCs w:val="28"/>
          <w:lang w:val="en-GB" w:eastAsia="zh-HK"/>
        </w:rPr>
        <w:t xml:space="preserve"> covered investment in the Mainland </w:t>
      </w:r>
      <w:r w:rsidR="00980585">
        <w:rPr>
          <w:rFonts w:ascii="Arial" w:eastAsiaTheme="minorEastAsia" w:hAnsi="Arial" w:cs="Arial" w:hint="eastAsia"/>
          <w:sz w:val="28"/>
          <w:szCs w:val="28"/>
          <w:lang w:val="en-GB" w:eastAsia="zh-HK"/>
        </w:rPr>
        <w:t>within</w:t>
      </w:r>
      <w:r w:rsidR="00980585" w:rsidRPr="00D302E7">
        <w:rPr>
          <w:rFonts w:ascii="Arial" w:eastAsiaTheme="minorEastAsia" w:hAnsi="Arial" w:cs="Arial"/>
          <w:sz w:val="28"/>
          <w:szCs w:val="28"/>
          <w:lang w:val="en-GB" w:eastAsia="zh-HK"/>
        </w:rPr>
        <w:t xml:space="preserve"> </w:t>
      </w:r>
      <w:r w:rsidR="00DB5E29" w:rsidRPr="00D302E7">
        <w:rPr>
          <w:rFonts w:ascii="Arial" w:eastAsiaTheme="minorEastAsia" w:hAnsi="Arial" w:cs="Arial"/>
          <w:sz w:val="28"/>
          <w:szCs w:val="28"/>
          <w:lang w:val="en-GB" w:eastAsia="zh-HK"/>
        </w:rPr>
        <w:t xml:space="preserve">the scope </w:t>
      </w:r>
      <w:r w:rsidR="003863C7" w:rsidRPr="00D302E7">
        <w:rPr>
          <w:rFonts w:ascii="Arial" w:eastAsiaTheme="minorEastAsia" w:hAnsi="Arial" w:cs="Arial"/>
          <w:sz w:val="28"/>
          <w:szCs w:val="28"/>
          <w:lang w:val="en-GB" w:eastAsia="zh-HK"/>
        </w:rPr>
        <w:t xml:space="preserve">of </w:t>
      </w:r>
      <w:r w:rsidRPr="00D302E7">
        <w:rPr>
          <w:rFonts w:ascii="Arial" w:eastAsiaTheme="minorEastAsia" w:hAnsi="Arial" w:cs="Arial"/>
          <w:sz w:val="28"/>
          <w:szCs w:val="28"/>
          <w:lang w:val="en-GB" w:eastAsia="zh-HK"/>
        </w:rPr>
        <w:t xml:space="preserve">Annex 2, a Hong Kong investor should submit to the Mainland’s </w:t>
      </w:r>
      <w:r w:rsidR="00980585">
        <w:rPr>
          <w:rFonts w:ascii="Arial" w:eastAsiaTheme="minorEastAsia" w:hAnsi="Arial" w:cs="Arial" w:hint="eastAsia"/>
          <w:sz w:val="28"/>
          <w:szCs w:val="28"/>
          <w:lang w:val="en-GB" w:eastAsia="zh-HK"/>
        </w:rPr>
        <w:t>examining</w:t>
      </w:r>
      <w:r w:rsidR="00980585" w:rsidRPr="00D302E7">
        <w:rPr>
          <w:rFonts w:ascii="Arial" w:eastAsiaTheme="minorEastAsia" w:hAnsi="Arial" w:cs="Arial"/>
          <w:sz w:val="28"/>
          <w:szCs w:val="28"/>
          <w:lang w:val="en-GB" w:eastAsia="zh-HK"/>
        </w:rPr>
        <w:t xml:space="preserve"> </w:t>
      </w:r>
      <w:r w:rsidRPr="00D302E7">
        <w:rPr>
          <w:rFonts w:ascii="Arial" w:eastAsiaTheme="minorEastAsia" w:hAnsi="Arial" w:cs="Arial"/>
          <w:sz w:val="28"/>
          <w:szCs w:val="28"/>
          <w:lang w:val="en-GB" w:eastAsia="zh-HK"/>
        </w:rPr>
        <w:t>authorities the certificate as required under Article 3 of this Annex.</w:t>
      </w:r>
    </w:p>
    <w:p w:rsidR="00CB7DF7" w:rsidRPr="00D302E7" w:rsidRDefault="00CB7DF7" w:rsidP="00A23825">
      <w:pPr>
        <w:snapToGrid w:val="0"/>
        <w:spacing w:line="360" w:lineRule="auto"/>
        <w:rPr>
          <w:rFonts w:ascii="Arial" w:hAnsi="Arial" w:cs="Arial"/>
          <w:sz w:val="28"/>
          <w:szCs w:val="28"/>
          <w:lang w:val="en-GB" w:eastAsia="zh-HK"/>
        </w:rPr>
      </w:pPr>
    </w:p>
    <w:p w:rsidR="00CB7DF7" w:rsidRPr="00D302E7" w:rsidRDefault="00CB7DF7" w:rsidP="00A23825">
      <w:pPr>
        <w:pStyle w:val="1"/>
        <w:snapToGrid w:val="0"/>
        <w:spacing w:line="360" w:lineRule="auto"/>
        <w:ind w:leftChars="271" w:left="1416" w:hanging="84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4.2.</w:t>
      </w:r>
      <w:r w:rsidR="007D0EAB"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Pursuant to the powers conferred under Mainland laws, the Mainland</w:t>
      </w:r>
      <w:r w:rsidR="00980585">
        <w:rPr>
          <w:rFonts w:ascii="Arial" w:eastAsiaTheme="minorEastAsia" w:hAnsi="Arial" w:cs="Arial"/>
          <w:sz w:val="28"/>
          <w:szCs w:val="28"/>
          <w:lang w:val="en-GB" w:eastAsia="zh-HK"/>
        </w:rPr>
        <w:t>’</w:t>
      </w:r>
      <w:r w:rsidR="00980585">
        <w:rPr>
          <w:rFonts w:ascii="Arial" w:eastAsiaTheme="minorEastAsia" w:hAnsi="Arial" w:cs="Arial" w:hint="eastAsia"/>
          <w:sz w:val="28"/>
          <w:szCs w:val="28"/>
          <w:lang w:val="en-GB" w:eastAsia="zh-HK"/>
        </w:rPr>
        <w:t>s</w:t>
      </w:r>
      <w:r w:rsidRPr="00D302E7">
        <w:rPr>
          <w:rFonts w:ascii="Arial" w:eastAsiaTheme="minorEastAsia" w:hAnsi="Arial" w:cs="Arial"/>
          <w:sz w:val="28"/>
          <w:szCs w:val="28"/>
          <w:lang w:val="en-GB" w:eastAsia="zh-HK"/>
        </w:rPr>
        <w:t xml:space="preserve"> examining authorities, in examining the application for Hong Kong investments, may at the same time verify the qualifications of the Hong Kong investor when they consider necessary.  The Mainland</w:t>
      </w:r>
      <w:r w:rsidR="00980585">
        <w:rPr>
          <w:rFonts w:ascii="Arial" w:eastAsiaTheme="minorEastAsia" w:hAnsi="Arial" w:cs="Arial"/>
          <w:sz w:val="28"/>
          <w:szCs w:val="28"/>
          <w:lang w:val="en-GB" w:eastAsia="zh-HK"/>
        </w:rPr>
        <w:t>’</w:t>
      </w:r>
      <w:r w:rsidR="00980585">
        <w:rPr>
          <w:rFonts w:ascii="Arial" w:eastAsiaTheme="minorEastAsia" w:hAnsi="Arial" w:cs="Arial" w:hint="eastAsia"/>
          <w:sz w:val="28"/>
          <w:szCs w:val="28"/>
          <w:lang w:val="en-GB" w:eastAsia="zh-HK"/>
        </w:rPr>
        <w:t>s</w:t>
      </w:r>
      <w:r w:rsidRPr="00D302E7">
        <w:rPr>
          <w:rFonts w:ascii="Arial" w:eastAsiaTheme="minorEastAsia" w:hAnsi="Arial" w:cs="Arial"/>
          <w:sz w:val="28"/>
          <w:szCs w:val="28"/>
          <w:lang w:val="en-GB" w:eastAsia="zh-HK"/>
        </w:rPr>
        <w:t xml:space="preserve"> </w:t>
      </w:r>
      <w:r w:rsidR="00980585">
        <w:rPr>
          <w:rFonts w:ascii="Arial" w:eastAsiaTheme="minorEastAsia" w:hAnsi="Arial" w:cs="Arial" w:hint="eastAsia"/>
          <w:sz w:val="28"/>
          <w:szCs w:val="28"/>
          <w:lang w:val="en-GB" w:eastAsia="zh-HK"/>
        </w:rPr>
        <w:t>examining</w:t>
      </w:r>
      <w:r w:rsidR="00980585" w:rsidRPr="00D302E7">
        <w:rPr>
          <w:rFonts w:ascii="Arial" w:eastAsiaTheme="minorEastAsia" w:hAnsi="Arial" w:cs="Arial"/>
          <w:sz w:val="28"/>
          <w:szCs w:val="28"/>
          <w:lang w:val="en-GB" w:eastAsia="zh-HK"/>
        </w:rPr>
        <w:t xml:space="preserve"> </w:t>
      </w:r>
      <w:r w:rsidRPr="00D302E7">
        <w:rPr>
          <w:rFonts w:ascii="Arial" w:eastAsiaTheme="minorEastAsia" w:hAnsi="Arial" w:cs="Arial"/>
          <w:sz w:val="28"/>
          <w:szCs w:val="28"/>
          <w:lang w:val="en-GB" w:eastAsia="zh-HK"/>
        </w:rPr>
        <w:t>authorities should request the Hong Kong investor to provide documents and information, and statutory declaration as required in Article 3 of this Annex within a stipulated period, and submit written justification for verifying the qualifications of the Hong Kong investor to the Ministry of Commerce.</w:t>
      </w:r>
    </w:p>
    <w:p w:rsidR="00CB7DF7" w:rsidRPr="00D302E7" w:rsidRDefault="00CB7DF7" w:rsidP="00A23825">
      <w:pPr>
        <w:snapToGrid w:val="0"/>
        <w:spacing w:line="360" w:lineRule="auto"/>
        <w:rPr>
          <w:rFonts w:ascii="Arial" w:hAnsi="Arial" w:cs="Arial"/>
          <w:sz w:val="28"/>
          <w:szCs w:val="28"/>
          <w:lang w:val="en-GB" w:eastAsia="zh-HK"/>
        </w:rPr>
      </w:pPr>
    </w:p>
    <w:p w:rsidR="00CB7DF7" w:rsidRPr="00D302E7" w:rsidRDefault="00CB7DF7" w:rsidP="00A23825">
      <w:pPr>
        <w:pStyle w:val="1"/>
        <w:snapToGrid w:val="0"/>
        <w:spacing w:line="360" w:lineRule="auto"/>
        <w:ind w:leftChars="271" w:left="1416" w:hanging="84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4.3.</w:t>
      </w:r>
      <w:r w:rsidR="007D0EAB"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 xml:space="preserve">When holding a different view in respect of the qualification of the Hong Kong investor, </w:t>
      </w:r>
      <w:r w:rsidR="005D7D27" w:rsidRPr="00D302E7">
        <w:rPr>
          <w:rFonts w:ascii="Arial" w:eastAsiaTheme="minorEastAsia" w:hAnsi="Arial" w:cs="Arial"/>
          <w:sz w:val="28"/>
          <w:szCs w:val="28"/>
          <w:lang w:val="en-GB" w:eastAsia="zh-HK"/>
        </w:rPr>
        <w:t>the Mainland</w:t>
      </w:r>
      <w:r w:rsidR="00980585">
        <w:rPr>
          <w:rFonts w:ascii="Arial" w:eastAsiaTheme="minorEastAsia" w:hAnsi="Arial" w:cs="Arial"/>
          <w:sz w:val="28"/>
          <w:szCs w:val="28"/>
          <w:lang w:val="en-GB" w:eastAsia="zh-HK"/>
        </w:rPr>
        <w:t>’</w:t>
      </w:r>
      <w:r w:rsidR="00980585">
        <w:rPr>
          <w:rFonts w:ascii="Arial" w:eastAsiaTheme="minorEastAsia" w:hAnsi="Arial" w:cs="Arial" w:hint="eastAsia"/>
          <w:sz w:val="28"/>
          <w:szCs w:val="28"/>
          <w:lang w:val="en-GB" w:eastAsia="zh-HK"/>
        </w:rPr>
        <w:t>s</w:t>
      </w:r>
      <w:r w:rsidR="005D7D27" w:rsidRPr="00D302E7">
        <w:rPr>
          <w:rFonts w:ascii="Arial" w:eastAsiaTheme="minorEastAsia" w:hAnsi="Arial" w:cs="Arial"/>
          <w:sz w:val="28"/>
          <w:szCs w:val="28"/>
          <w:lang w:val="en-GB" w:eastAsia="zh-HK"/>
        </w:rPr>
        <w:t xml:space="preserve"> </w:t>
      </w:r>
      <w:r w:rsidR="00980585">
        <w:rPr>
          <w:rFonts w:ascii="Arial" w:eastAsiaTheme="minorEastAsia" w:hAnsi="Arial" w:cs="Arial" w:hint="eastAsia"/>
          <w:sz w:val="28"/>
          <w:szCs w:val="28"/>
          <w:lang w:val="en-GB" w:eastAsia="zh-HK"/>
        </w:rPr>
        <w:t>examining</w:t>
      </w:r>
      <w:r w:rsidR="00980585" w:rsidRPr="00D302E7">
        <w:rPr>
          <w:rFonts w:ascii="Arial" w:eastAsiaTheme="minorEastAsia" w:hAnsi="Arial" w:cs="Arial"/>
          <w:sz w:val="28"/>
          <w:szCs w:val="28"/>
          <w:lang w:val="en-GB" w:eastAsia="zh-HK"/>
        </w:rPr>
        <w:t xml:space="preserve"> </w:t>
      </w:r>
      <w:r w:rsidR="005D7D27" w:rsidRPr="00D302E7">
        <w:rPr>
          <w:rFonts w:ascii="Arial" w:eastAsiaTheme="minorEastAsia" w:hAnsi="Arial" w:cs="Arial"/>
          <w:sz w:val="28"/>
          <w:szCs w:val="28"/>
          <w:lang w:val="en-GB" w:eastAsia="zh-HK"/>
        </w:rPr>
        <w:t>authorities</w:t>
      </w:r>
      <w:r w:rsidRPr="00D302E7">
        <w:rPr>
          <w:rFonts w:ascii="Arial" w:eastAsiaTheme="minorEastAsia" w:hAnsi="Arial" w:cs="Arial"/>
          <w:sz w:val="28"/>
          <w:szCs w:val="28"/>
          <w:lang w:val="en-GB" w:eastAsia="zh-HK"/>
        </w:rPr>
        <w:t xml:space="preserve"> should inform the Hong Kong investor within a stipulated period, and notify the Ministry of Commerce.  The Ministry of Commerce will in turn inform </w:t>
      </w:r>
      <w:r w:rsidR="00B8469C" w:rsidRPr="00D302E7">
        <w:rPr>
          <w:rFonts w:ascii="Arial" w:eastAsiaTheme="minorEastAsia" w:hAnsi="Arial" w:cs="Arial"/>
          <w:sz w:val="28"/>
          <w:szCs w:val="28"/>
          <w:lang w:val="en-GB" w:eastAsia="zh-HK"/>
        </w:rPr>
        <w:t xml:space="preserve">the </w:t>
      </w:r>
      <w:r w:rsidRPr="00D302E7">
        <w:rPr>
          <w:rFonts w:ascii="Arial" w:eastAsiaTheme="minorEastAsia" w:hAnsi="Arial" w:cs="Arial"/>
          <w:sz w:val="28"/>
          <w:szCs w:val="28"/>
          <w:lang w:val="en-GB" w:eastAsia="zh-HK"/>
        </w:rPr>
        <w:t xml:space="preserve">TID, giving the reasons for the divergent views. The Hong Kong investor may, through </w:t>
      </w:r>
      <w:r w:rsidR="00B8469C" w:rsidRPr="00D302E7">
        <w:rPr>
          <w:rFonts w:ascii="Arial" w:eastAsiaTheme="minorEastAsia" w:hAnsi="Arial" w:cs="Arial"/>
          <w:sz w:val="28"/>
          <w:szCs w:val="28"/>
          <w:lang w:val="en-GB" w:eastAsia="zh-HK"/>
        </w:rPr>
        <w:t xml:space="preserve">the </w:t>
      </w:r>
      <w:r w:rsidRPr="00D302E7">
        <w:rPr>
          <w:rFonts w:ascii="Arial" w:eastAsiaTheme="minorEastAsia" w:hAnsi="Arial" w:cs="Arial"/>
          <w:sz w:val="28"/>
          <w:szCs w:val="28"/>
          <w:lang w:val="en-GB" w:eastAsia="zh-HK"/>
        </w:rPr>
        <w:t xml:space="preserve">TID and with written justification, request the Ministry of Commerce for reconsideration.  The Ministry of </w:t>
      </w:r>
      <w:r w:rsidRPr="00D302E7">
        <w:rPr>
          <w:rFonts w:ascii="Arial" w:eastAsiaTheme="minorEastAsia" w:hAnsi="Arial" w:cs="Arial"/>
          <w:sz w:val="28"/>
          <w:szCs w:val="28"/>
          <w:lang w:val="en-GB" w:eastAsia="zh-HK"/>
        </w:rPr>
        <w:lastRenderedPageBreak/>
        <w:t xml:space="preserve">Commerce should give a written reply to </w:t>
      </w:r>
      <w:r w:rsidR="00B8469C" w:rsidRPr="00D302E7">
        <w:rPr>
          <w:rFonts w:ascii="Arial" w:eastAsiaTheme="minorEastAsia" w:hAnsi="Arial" w:cs="Arial"/>
          <w:sz w:val="28"/>
          <w:szCs w:val="28"/>
          <w:lang w:val="en-GB" w:eastAsia="zh-HK"/>
        </w:rPr>
        <w:t xml:space="preserve">the </w:t>
      </w:r>
      <w:r w:rsidRPr="00D302E7">
        <w:rPr>
          <w:rFonts w:ascii="Arial" w:eastAsiaTheme="minorEastAsia" w:hAnsi="Arial" w:cs="Arial"/>
          <w:sz w:val="28"/>
          <w:szCs w:val="28"/>
          <w:lang w:val="en-GB" w:eastAsia="zh-HK"/>
        </w:rPr>
        <w:t>TID within a stipulated period.</w:t>
      </w:r>
    </w:p>
    <w:p w:rsidR="00CB7DF7" w:rsidRPr="00D302E7" w:rsidRDefault="00CB7DF7" w:rsidP="00A23825">
      <w:pPr>
        <w:snapToGrid w:val="0"/>
        <w:spacing w:line="360" w:lineRule="auto"/>
        <w:rPr>
          <w:rFonts w:ascii="Arial" w:hAnsi="Arial" w:cs="Arial"/>
          <w:sz w:val="28"/>
          <w:szCs w:val="28"/>
          <w:lang w:val="en-GB" w:eastAsia="zh-HK"/>
        </w:rPr>
      </w:pPr>
    </w:p>
    <w:p w:rsidR="00CB7DF7" w:rsidRPr="00D302E7" w:rsidRDefault="00CB7DF7" w:rsidP="00A23825">
      <w:pPr>
        <w:spacing w:line="360" w:lineRule="auto"/>
        <w:rPr>
          <w:rFonts w:ascii="Arial" w:eastAsia="新細明體" w:hAnsi="Arial" w:cs="Times New Roman"/>
          <w:sz w:val="28"/>
          <w:szCs w:val="24"/>
          <w:lang w:val="en-GB" w:eastAsia="zh-TW"/>
        </w:rPr>
      </w:pPr>
      <w:r w:rsidRPr="00D302E7">
        <w:rPr>
          <w:rFonts w:ascii="Arial" w:eastAsia="新細明體" w:hAnsi="Arial" w:cs="Times New Roman"/>
          <w:sz w:val="28"/>
          <w:szCs w:val="24"/>
          <w:lang w:val="en-GB" w:eastAsia="zh-TW"/>
        </w:rPr>
        <w:t>5.</w:t>
      </w:r>
      <w:r w:rsidRPr="00D302E7">
        <w:rPr>
          <w:rFonts w:ascii="Arial" w:eastAsia="新細明體" w:hAnsi="Arial" w:cs="Times New Roman"/>
          <w:sz w:val="28"/>
          <w:szCs w:val="24"/>
          <w:lang w:val="en-GB" w:eastAsia="zh-TW"/>
        </w:rPr>
        <w:tab/>
      </w:r>
      <w:r w:rsidR="00980585">
        <w:rPr>
          <w:rFonts w:ascii="Arial" w:eastAsia="新細明體" w:hAnsi="Arial" w:cs="Times New Roman" w:hint="eastAsia"/>
          <w:sz w:val="28"/>
          <w:szCs w:val="24"/>
          <w:lang w:val="en-GB" w:eastAsia="zh-TW"/>
        </w:rPr>
        <w:t xml:space="preserve">A </w:t>
      </w:r>
      <w:r w:rsidRPr="00D302E7">
        <w:rPr>
          <w:rFonts w:ascii="Arial" w:eastAsia="新細明體" w:hAnsi="Arial" w:cs="Times New Roman"/>
          <w:sz w:val="28"/>
          <w:szCs w:val="24"/>
          <w:lang w:val="en-GB" w:eastAsia="zh-TW"/>
        </w:rPr>
        <w:t xml:space="preserve">Mainland investor investing in Hong Kong shall comply with </w:t>
      </w:r>
      <w:r w:rsidR="00980585">
        <w:rPr>
          <w:rFonts w:ascii="Arial" w:eastAsia="新細明體" w:hAnsi="Arial" w:cs="Times New Roman" w:hint="eastAsia"/>
          <w:sz w:val="28"/>
          <w:szCs w:val="24"/>
          <w:lang w:val="en-GB" w:eastAsia="zh-TW"/>
        </w:rPr>
        <w:t xml:space="preserve">the </w:t>
      </w:r>
      <w:r w:rsidRPr="00D302E7">
        <w:rPr>
          <w:rFonts w:ascii="Arial" w:eastAsia="新細明體" w:hAnsi="Arial" w:cs="Times New Roman"/>
          <w:sz w:val="28"/>
          <w:szCs w:val="24"/>
          <w:lang w:val="en-GB" w:eastAsia="zh-TW"/>
        </w:rPr>
        <w:t xml:space="preserve">requirements in paragraph 2 of Article 2 </w:t>
      </w:r>
      <w:r w:rsidR="00A903E2" w:rsidRPr="00D302E7">
        <w:rPr>
          <w:rFonts w:ascii="Arial" w:eastAsia="新細明體" w:hAnsi="Arial" w:cs="Times New Roman"/>
          <w:sz w:val="28"/>
          <w:szCs w:val="24"/>
          <w:lang w:val="en-GB" w:eastAsia="zh-TW"/>
        </w:rPr>
        <w:t xml:space="preserve">(Definitions) </w:t>
      </w:r>
      <w:r w:rsidR="00AD17F6" w:rsidRPr="00D302E7">
        <w:rPr>
          <w:rFonts w:ascii="Arial" w:eastAsia="新細明體" w:hAnsi="Arial" w:cs="Times New Roman"/>
          <w:sz w:val="28"/>
          <w:szCs w:val="24"/>
          <w:lang w:val="en-GB" w:eastAsia="zh-TW"/>
        </w:rPr>
        <w:t>of</w:t>
      </w:r>
      <w:r w:rsidRPr="00D302E7">
        <w:rPr>
          <w:rFonts w:ascii="Arial" w:eastAsia="新細明體" w:hAnsi="Arial" w:cs="Times New Roman"/>
          <w:sz w:val="28"/>
          <w:szCs w:val="24"/>
          <w:lang w:val="en-GB" w:eastAsia="zh-TW"/>
        </w:rPr>
        <w:t xml:space="preserve"> this Agreement.</w:t>
      </w:r>
    </w:p>
    <w:p w:rsidR="00CB7DF7" w:rsidRPr="00D302E7" w:rsidRDefault="00CB7DF7" w:rsidP="00A23825">
      <w:pPr>
        <w:snapToGrid w:val="0"/>
        <w:spacing w:line="360" w:lineRule="auto"/>
        <w:rPr>
          <w:rFonts w:ascii="Arial" w:hAnsi="Arial" w:cs="Arial"/>
          <w:color w:val="000000"/>
          <w:kern w:val="0"/>
          <w:sz w:val="28"/>
          <w:szCs w:val="28"/>
          <w:lang w:val="en-GB" w:eastAsia="zh-HK"/>
        </w:rPr>
      </w:pPr>
    </w:p>
    <w:p w:rsidR="00CB7DF7" w:rsidRPr="00D302E7" w:rsidRDefault="00CB7DF7" w:rsidP="00A23825">
      <w:pPr>
        <w:spacing w:line="360" w:lineRule="auto"/>
        <w:rPr>
          <w:rFonts w:ascii="Arial" w:eastAsia="新細明體" w:hAnsi="Arial" w:cs="Times New Roman"/>
          <w:sz w:val="28"/>
          <w:szCs w:val="24"/>
          <w:lang w:val="en-GB" w:eastAsia="zh-TW"/>
        </w:rPr>
      </w:pPr>
      <w:r w:rsidRPr="00D302E7">
        <w:rPr>
          <w:rFonts w:ascii="Arial" w:eastAsia="新細明體" w:hAnsi="Arial" w:cs="Times New Roman"/>
          <w:sz w:val="28"/>
          <w:szCs w:val="24"/>
          <w:lang w:val="en-GB" w:eastAsia="zh-TW"/>
        </w:rPr>
        <w:t>6.</w:t>
      </w:r>
      <w:r w:rsidRPr="00D302E7">
        <w:rPr>
          <w:rFonts w:ascii="Arial" w:eastAsia="新細明體" w:hAnsi="Arial" w:cs="Times New Roman"/>
          <w:sz w:val="28"/>
          <w:szCs w:val="24"/>
          <w:lang w:val="en-GB" w:eastAsia="zh-TW"/>
        </w:rPr>
        <w:tab/>
        <w:t>In this Annex, “commercial presence” means any type of business or professional establishment</w:t>
      </w:r>
      <w:r w:rsidR="00AD17F6" w:rsidRPr="00D302E7">
        <w:rPr>
          <w:rFonts w:ascii="Arial" w:eastAsia="新細明體" w:hAnsi="Arial" w:cs="Times New Roman"/>
          <w:sz w:val="28"/>
          <w:szCs w:val="24"/>
          <w:lang w:val="en-GB" w:eastAsia="zh-TW"/>
        </w:rPr>
        <w:t xml:space="preserve"> of one side</w:t>
      </w:r>
      <w:r w:rsidRPr="00D302E7">
        <w:rPr>
          <w:rFonts w:ascii="Arial" w:eastAsia="新細明體" w:hAnsi="Arial" w:cs="Times New Roman"/>
          <w:sz w:val="28"/>
          <w:szCs w:val="24"/>
          <w:lang w:val="en-GB" w:eastAsia="zh-TW"/>
        </w:rPr>
        <w:t>, including through:</w:t>
      </w:r>
    </w:p>
    <w:p w:rsidR="00CB7DF7" w:rsidRPr="00D302E7" w:rsidRDefault="00CB7DF7" w:rsidP="00A23825">
      <w:pPr>
        <w:snapToGrid w:val="0"/>
        <w:spacing w:line="360" w:lineRule="auto"/>
        <w:rPr>
          <w:rFonts w:ascii="Arial" w:hAnsi="Arial" w:cs="Arial"/>
          <w:color w:val="000000"/>
          <w:kern w:val="0"/>
          <w:sz w:val="28"/>
          <w:szCs w:val="28"/>
          <w:lang w:val="en-GB" w:eastAsia="zh-HK"/>
        </w:rPr>
      </w:pPr>
    </w:p>
    <w:p w:rsidR="00CB7DF7" w:rsidRPr="00D302E7" w:rsidRDefault="00CB7DF7" w:rsidP="00A23825">
      <w:pPr>
        <w:pStyle w:val="1"/>
        <w:snapToGrid w:val="0"/>
        <w:spacing w:line="360" w:lineRule="auto"/>
        <w:ind w:leftChars="271" w:left="1416" w:hanging="84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6.1.</w:t>
      </w:r>
      <w:r w:rsidR="007D0EAB"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the constitution, acquisition or operation of an enterprise, or</w:t>
      </w:r>
    </w:p>
    <w:p w:rsidR="00CB7DF7" w:rsidRPr="00D302E7" w:rsidRDefault="00CB7DF7" w:rsidP="00A23825">
      <w:pPr>
        <w:snapToGrid w:val="0"/>
        <w:spacing w:line="360" w:lineRule="auto"/>
        <w:rPr>
          <w:rFonts w:ascii="Arial" w:hAnsi="Arial" w:cs="Arial"/>
          <w:color w:val="000000"/>
          <w:kern w:val="0"/>
          <w:sz w:val="28"/>
          <w:szCs w:val="28"/>
          <w:lang w:val="en-GB" w:eastAsia="zh-HK"/>
        </w:rPr>
      </w:pPr>
    </w:p>
    <w:p w:rsidR="00CB7DF7" w:rsidRPr="00D302E7" w:rsidRDefault="00CB7DF7" w:rsidP="00A23825">
      <w:pPr>
        <w:pStyle w:val="1"/>
        <w:snapToGrid w:val="0"/>
        <w:spacing w:line="360" w:lineRule="auto"/>
        <w:ind w:leftChars="271" w:left="1416" w:hanging="84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6.2.</w:t>
      </w:r>
      <w:r w:rsidR="007D0EAB"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the constitution or operation of a bra</w:t>
      </w:r>
      <w:r w:rsidR="00F972F2" w:rsidRPr="00D302E7">
        <w:rPr>
          <w:rFonts w:ascii="Arial" w:eastAsiaTheme="minorEastAsia" w:hAnsi="Arial" w:cs="Arial"/>
          <w:sz w:val="28"/>
          <w:szCs w:val="28"/>
          <w:lang w:val="en-GB" w:eastAsia="zh-HK"/>
        </w:rPr>
        <w:t>nch or a representative office,</w:t>
      </w:r>
    </w:p>
    <w:p w:rsidR="00476046" w:rsidRPr="00D302E7" w:rsidRDefault="00476046" w:rsidP="00A23825">
      <w:pPr>
        <w:snapToGrid w:val="0"/>
        <w:spacing w:line="360" w:lineRule="auto"/>
        <w:rPr>
          <w:rFonts w:ascii="Arial" w:hAnsi="Arial" w:cs="Arial"/>
          <w:color w:val="000000"/>
          <w:kern w:val="0"/>
          <w:sz w:val="28"/>
          <w:szCs w:val="28"/>
          <w:lang w:val="en-GB" w:eastAsia="zh-HK"/>
        </w:rPr>
      </w:pPr>
    </w:p>
    <w:p w:rsidR="005B11FC" w:rsidRPr="00D302E7" w:rsidRDefault="00CB7DF7" w:rsidP="00CB6EC6">
      <w:pPr>
        <w:snapToGrid w:val="0"/>
        <w:spacing w:line="360" w:lineRule="auto"/>
        <w:rPr>
          <w:rFonts w:ascii="Arial" w:eastAsia="新細明體" w:hAnsi="Arial" w:cs="Times New Roman"/>
          <w:sz w:val="28"/>
          <w:szCs w:val="24"/>
          <w:lang w:val="en-GB" w:eastAsia="zh-TW"/>
        </w:rPr>
      </w:pPr>
      <w:r w:rsidRPr="00D302E7">
        <w:rPr>
          <w:rFonts w:ascii="Arial" w:hAnsi="Arial" w:cs="Arial"/>
          <w:color w:val="000000"/>
          <w:kern w:val="0"/>
          <w:sz w:val="28"/>
          <w:szCs w:val="28"/>
          <w:lang w:val="en-GB" w:eastAsia="zh-HK"/>
        </w:rPr>
        <w:t xml:space="preserve">within the area of </w:t>
      </w:r>
      <w:r w:rsidR="00AD17F6" w:rsidRPr="00D302E7">
        <w:rPr>
          <w:rFonts w:ascii="Arial" w:hAnsi="Arial" w:cs="Arial"/>
          <w:color w:val="000000"/>
          <w:kern w:val="0"/>
          <w:sz w:val="28"/>
          <w:szCs w:val="28"/>
          <w:lang w:val="en-GB" w:eastAsia="zh-HK"/>
        </w:rPr>
        <w:t>the other</w:t>
      </w:r>
      <w:r w:rsidRPr="00D302E7">
        <w:rPr>
          <w:rFonts w:ascii="Arial" w:hAnsi="Arial" w:cs="Arial"/>
          <w:color w:val="000000"/>
          <w:kern w:val="0"/>
          <w:sz w:val="28"/>
          <w:szCs w:val="28"/>
          <w:lang w:val="en-GB" w:eastAsia="zh-HK"/>
        </w:rPr>
        <w:t xml:space="preserve"> side.</w:t>
      </w:r>
    </w:p>
    <w:sectPr w:rsidR="005B11FC" w:rsidRPr="00D302E7" w:rsidSect="00EA5D99">
      <w:headerReference w:type="even" r:id="rId8"/>
      <w:headerReference w:type="default" r:id="rId9"/>
      <w:footerReference w:type="even" r:id="rId10"/>
      <w:headerReference w:type="first" r:id="rId11"/>
      <w:footerReference w:type="first" r:id="rId12"/>
      <w:footnotePr>
        <w:numRestart w:val="eachSect"/>
      </w:footnotePr>
      <w:pgSz w:w="11906" w:h="16838"/>
      <w:pgMar w:top="1633" w:right="1633" w:bottom="1633" w:left="1797" w:header="851"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17" w:rsidRDefault="00525217" w:rsidP="004D697E">
      <w:r>
        <w:separator/>
      </w:r>
    </w:p>
  </w:endnote>
  <w:endnote w:type="continuationSeparator" w:id="0">
    <w:p w:rsidR="00525217" w:rsidRDefault="00525217" w:rsidP="004D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
    <w:charset w:val="86"/>
    <w:family w:val="modern"/>
    <w:pitch w:val="fixed"/>
    <w:sig w:usb0="800002BF" w:usb1="38CF7CFA" w:usb2="00000016" w:usb3="00000000" w:csb0="00040001" w:csb1="00000000"/>
  </w:font>
  <w:font w:name="FangSong_GB2312">
    <w:altName w:val="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c"/>
      <w:spacing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c"/>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17" w:rsidRDefault="00525217" w:rsidP="004D697E">
      <w:r>
        <w:separator/>
      </w:r>
    </w:p>
  </w:footnote>
  <w:footnote w:type="continuationSeparator" w:id="0">
    <w:p w:rsidR="00525217" w:rsidRDefault="00525217" w:rsidP="004D697E">
      <w:r>
        <w:continuationSeparator/>
      </w:r>
    </w:p>
  </w:footnote>
  <w:footnote w:id="1">
    <w:p w:rsidR="009A2CF7" w:rsidRPr="00CB7DF7" w:rsidRDefault="009A2CF7" w:rsidP="00CB7DF7">
      <w:pPr>
        <w:pStyle w:val="a5"/>
        <w:ind w:left="426" w:hanging="426"/>
        <w:jc w:val="both"/>
        <w:rPr>
          <w:rFonts w:ascii="Arial" w:hAnsi="Arial" w:cs="Arial"/>
          <w:sz w:val="18"/>
          <w:szCs w:val="18"/>
          <w:lang w:eastAsia="zh-HK"/>
        </w:rPr>
      </w:pPr>
      <w:r>
        <w:rPr>
          <w:rStyle w:val="a7"/>
          <w:rFonts w:hint="eastAsia"/>
        </w:rPr>
        <w:t>①</w:t>
      </w:r>
      <w:r>
        <w:t xml:space="preserve"> </w:t>
      </w:r>
      <w:r>
        <w:rPr>
          <w:rFonts w:ascii="Arial" w:hAnsi="Arial" w:cs="Arial"/>
          <w:sz w:val="18"/>
          <w:szCs w:val="18"/>
        </w:rPr>
        <w:tab/>
      </w:r>
      <w:r w:rsidRPr="00CB7DF7">
        <w:rPr>
          <w:rFonts w:ascii="Arial" w:hAnsi="Arial" w:cs="Arial"/>
          <w:sz w:val="18"/>
          <w:szCs w:val="18"/>
          <w:lang w:eastAsia="zh-HK"/>
        </w:rPr>
        <w:t xml:space="preserve">For greater certainty, </w:t>
      </w:r>
      <w:r>
        <w:rPr>
          <w:rFonts w:ascii="Arial" w:hAnsi="Arial" w:cs="Arial" w:hint="eastAsia"/>
          <w:sz w:val="18"/>
          <w:szCs w:val="18"/>
          <w:lang w:eastAsia="zh-HK"/>
        </w:rPr>
        <w:t>w</w:t>
      </w:r>
      <w:r w:rsidRPr="001518A2">
        <w:rPr>
          <w:rFonts w:ascii="Arial" w:hAnsi="Arial" w:cs="Arial"/>
          <w:sz w:val="18"/>
          <w:szCs w:val="18"/>
        </w:rPr>
        <w:t>ithout prejudice to the other provisions and</w:t>
      </w:r>
      <w:r w:rsidRPr="001518A2">
        <w:rPr>
          <w:rFonts w:ascii="Arial" w:hAnsi="Arial" w:cs="Arial" w:hint="eastAsia"/>
          <w:sz w:val="18"/>
          <w:szCs w:val="18"/>
        </w:rPr>
        <w:t xml:space="preserve"> the requirements under the</w:t>
      </w:r>
      <w:r w:rsidRPr="001518A2">
        <w:rPr>
          <w:rFonts w:ascii="Arial" w:hAnsi="Arial" w:cs="Arial"/>
          <w:sz w:val="18"/>
          <w:szCs w:val="18"/>
        </w:rPr>
        <w:t xml:space="preserve"> annexes to this Agreement, </w:t>
      </w:r>
      <w:r w:rsidRPr="001518A2">
        <w:rPr>
          <w:rFonts w:ascii="Arial" w:hAnsi="Arial" w:cs="Arial" w:hint="eastAsia"/>
          <w:sz w:val="18"/>
          <w:szCs w:val="18"/>
        </w:rPr>
        <w:t xml:space="preserve">an </w:t>
      </w:r>
      <w:r w:rsidRPr="001518A2">
        <w:rPr>
          <w:rFonts w:ascii="Arial" w:hAnsi="Arial" w:cs="Arial"/>
          <w:sz w:val="18"/>
          <w:szCs w:val="18"/>
        </w:rPr>
        <w:t>investor</w:t>
      </w:r>
      <w:r w:rsidRPr="001518A2">
        <w:rPr>
          <w:rFonts w:ascii="Arial" w:hAnsi="Arial" w:cs="Arial" w:hint="eastAsia"/>
          <w:sz w:val="18"/>
          <w:szCs w:val="18"/>
        </w:rPr>
        <w:t xml:space="preserve"> of </w:t>
      </w:r>
      <w:r w:rsidRPr="001518A2">
        <w:rPr>
          <w:rFonts w:ascii="Arial" w:hAnsi="Arial" w:cs="Arial"/>
          <w:sz w:val="18"/>
          <w:szCs w:val="18"/>
        </w:rPr>
        <w:t xml:space="preserve">one side must fulfil the relevant requirements in relation to the definition of “investor” referred in Annex 1 to this Agreement </w:t>
      </w:r>
      <w:r>
        <w:rPr>
          <w:rFonts w:ascii="Arial" w:hAnsi="Arial" w:cs="Arial" w:hint="eastAsia"/>
          <w:sz w:val="18"/>
          <w:szCs w:val="18"/>
          <w:lang w:eastAsia="zh-HK"/>
        </w:rPr>
        <w:t>in order</w:t>
      </w:r>
      <w:r w:rsidRPr="001518A2">
        <w:rPr>
          <w:rFonts w:ascii="Arial" w:hAnsi="Arial" w:cs="Arial"/>
          <w:sz w:val="18"/>
          <w:szCs w:val="18"/>
        </w:rPr>
        <w:t xml:space="preserve"> to enjoy the</w:t>
      </w:r>
      <w:r>
        <w:rPr>
          <w:rFonts w:ascii="Arial" w:hAnsi="Arial" w:cs="Arial" w:hint="eastAsia"/>
          <w:sz w:val="18"/>
          <w:szCs w:val="18"/>
          <w:lang w:eastAsia="zh-HK"/>
        </w:rPr>
        <w:t xml:space="preserve"> treatment of</w:t>
      </w:r>
      <w:r w:rsidRPr="001518A2">
        <w:rPr>
          <w:rFonts w:ascii="Arial" w:hAnsi="Arial" w:cs="Arial"/>
          <w:sz w:val="18"/>
          <w:szCs w:val="18"/>
        </w:rPr>
        <w:t xml:space="preserve"> investment</w:t>
      </w:r>
      <w:r>
        <w:rPr>
          <w:rFonts w:ascii="Arial" w:hAnsi="Arial" w:cs="Arial" w:hint="eastAsia"/>
          <w:sz w:val="18"/>
          <w:szCs w:val="18"/>
          <w:lang w:eastAsia="zh-HK"/>
        </w:rPr>
        <w:t>s</w:t>
      </w:r>
      <w:r w:rsidRPr="001518A2">
        <w:rPr>
          <w:rFonts w:ascii="Arial" w:hAnsi="Arial" w:cs="Arial"/>
          <w:sz w:val="18"/>
          <w:szCs w:val="18"/>
        </w:rPr>
        <w:t xml:space="preserve"> as set out </w:t>
      </w:r>
      <w:r>
        <w:rPr>
          <w:rFonts w:ascii="Arial" w:hAnsi="Arial" w:cs="Arial" w:hint="eastAsia"/>
          <w:sz w:val="18"/>
          <w:szCs w:val="18"/>
          <w:lang w:eastAsia="zh-HK"/>
        </w:rPr>
        <w:t>under</w:t>
      </w:r>
      <w:r w:rsidRPr="001518A2">
        <w:rPr>
          <w:rFonts w:ascii="Arial" w:hAnsi="Arial" w:cs="Arial"/>
          <w:sz w:val="18"/>
          <w:szCs w:val="18"/>
        </w:rPr>
        <w:t xml:space="preserve"> Article 5 (National Treatment), Article 6 (Most-</w:t>
      </w:r>
      <w:r w:rsidRPr="001518A2">
        <w:rPr>
          <w:rFonts w:ascii="Arial" w:hAnsi="Arial" w:cs="Arial" w:hint="eastAsia"/>
          <w:sz w:val="18"/>
          <w:szCs w:val="18"/>
        </w:rPr>
        <w:t>F</w:t>
      </w:r>
      <w:r w:rsidRPr="001518A2">
        <w:rPr>
          <w:rFonts w:ascii="Arial" w:hAnsi="Arial" w:cs="Arial"/>
          <w:sz w:val="18"/>
          <w:szCs w:val="18"/>
        </w:rPr>
        <w:t>avoured Treatment), Article 7 (Performance Requirements) and Article 8 (Senior Management, Boards of Directors and Entry of Personnel)</w:t>
      </w:r>
      <w:r w:rsidRPr="00CB7DF7">
        <w:rPr>
          <w:rFonts w:ascii="Arial" w:hAnsi="Arial" w:cs="Arial"/>
          <w:sz w:val="18"/>
          <w:szCs w:val="18"/>
          <w:lang w:eastAsia="zh-HK"/>
        </w:rPr>
        <w:t>.</w:t>
      </w:r>
    </w:p>
  </w:footnote>
  <w:footnote w:id="2">
    <w:p w:rsidR="009A2CF7" w:rsidRPr="00CB7DF7" w:rsidRDefault="009A2CF7" w:rsidP="00CB7DF7">
      <w:pPr>
        <w:pStyle w:val="a5"/>
        <w:ind w:left="426" w:hanging="426"/>
        <w:jc w:val="both"/>
        <w:rPr>
          <w:rFonts w:ascii="Arial" w:hAnsi="Arial" w:cs="Arial"/>
          <w:sz w:val="18"/>
          <w:szCs w:val="18"/>
          <w:lang w:eastAsia="zh-HK"/>
        </w:rPr>
      </w:pPr>
      <w:r>
        <w:rPr>
          <w:rStyle w:val="a7"/>
          <w:rFonts w:hint="eastAsia"/>
        </w:rPr>
        <w:t>②</w:t>
      </w:r>
      <w:r>
        <w:t xml:space="preserve"> </w:t>
      </w:r>
      <w:r>
        <w:rPr>
          <w:rFonts w:ascii="Arial" w:hAnsi="Arial" w:cs="Arial"/>
          <w:sz w:val="18"/>
          <w:szCs w:val="18"/>
        </w:rPr>
        <w:tab/>
      </w:r>
      <w:r w:rsidRPr="00CB7DF7">
        <w:rPr>
          <w:rFonts w:ascii="Arial" w:hAnsi="Arial" w:cs="Arial"/>
          <w:sz w:val="18"/>
          <w:szCs w:val="18"/>
          <w:lang w:eastAsia="zh-HK"/>
        </w:rPr>
        <w:t>Any overseas company, representative office, liaison office, “mail box company” and company specifically established for providing certain services to its parent company, which is registered in Hong Kong, is not a Hong Kong investor under this Annex.</w:t>
      </w:r>
    </w:p>
  </w:footnote>
  <w:footnote w:id="3">
    <w:p w:rsidR="009A2CF7" w:rsidRPr="00CB7DF7" w:rsidRDefault="009A2CF7" w:rsidP="00CB7DF7">
      <w:pPr>
        <w:pStyle w:val="a5"/>
        <w:ind w:left="426" w:hanging="426"/>
        <w:jc w:val="both"/>
        <w:rPr>
          <w:rFonts w:ascii="Arial" w:hAnsi="Arial" w:cs="Arial"/>
          <w:sz w:val="18"/>
          <w:szCs w:val="18"/>
          <w:lang w:eastAsia="zh-HK"/>
        </w:rPr>
      </w:pPr>
      <w:r>
        <w:rPr>
          <w:rStyle w:val="a7"/>
          <w:rFonts w:hint="eastAsia"/>
        </w:rPr>
        <w:t>③</w:t>
      </w:r>
      <w:r>
        <w:t xml:space="preserve"> </w:t>
      </w:r>
      <w:r>
        <w:rPr>
          <w:rFonts w:ascii="Arial" w:hAnsi="Arial" w:cs="Arial"/>
          <w:sz w:val="18"/>
          <w:szCs w:val="18"/>
        </w:rPr>
        <w:tab/>
      </w:r>
      <w:r w:rsidRPr="00CB7DF7">
        <w:rPr>
          <w:rFonts w:ascii="Arial" w:hAnsi="Arial" w:cs="Arial"/>
          <w:sz w:val="18"/>
          <w:szCs w:val="18"/>
          <w:lang w:eastAsia="zh-HK"/>
        </w:rPr>
        <w:t>From the day th</w:t>
      </w:r>
      <w:r>
        <w:rPr>
          <w:rFonts w:ascii="Arial" w:hAnsi="Arial" w:cs="Arial" w:hint="eastAsia"/>
          <w:sz w:val="18"/>
          <w:szCs w:val="18"/>
          <w:lang w:eastAsia="zh-HK"/>
        </w:rPr>
        <w:t>is Agreement</w:t>
      </w:r>
      <w:r w:rsidRPr="00CB7DF7">
        <w:rPr>
          <w:rFonts w:ascii="Arial" w:hAnsi="Arial" w:cs="Arial"/>
          <w:sz w:val="18"/>
          <w:szCs w:val="18"/>
          <w:lang w:eastAsia="zh-HK"/>
        </w:rPr>
        <w:t xml:space="preserve"> comes into effect, where more than 50% of the equity interest of a Hong Kong investor has been owned for at least one year since a merger or acquisition by an investor other than one from either side, the investor which has been acquired or merged will be regarded as a Hong Kong investor.</w:t>
      </w:r>
    </w:p>
  </w:footnote>
  <w:footnote w:id="4">
    <w:p w:rsidR="009A2CF7" w:rsidRDefault="009A2CF7" w:rsidP="00CB7DF7">
      <w:pPr>
        <w:pStyle w:val="a5"/>
        <w:keepLines/>
        <w:ind w:left="426" w:hanging="426"/>
        <w:rPr>
          <w:lang w:eastAsia="zh-HK"/>
        </w:rPr>
      </w:pPr>
      <w:r>
        <w:rPr>
          <w:rStyle w:val="a7"/>
          <w:rFonts w:hint="eastAsia"/>
        </w:rPr>
        <w:t>④</w:t>
      </w:r>
      <w:r>
        <w:t xml:space="preserve"> </w:t>
      </w:r>
      <w:r>
        <w:rPr>
          <w:rFonts w:ascii="Arial" w:hAnsi="Arial" w:cs="Arial"/>
          <w:sz w:val="18"/>
          <w:szCs w:val="18"/>
        </w:rPr>
        <w:tab/>
      </w:r>
      <w:r w:rsidRPr="00CB7DF7">
        <w:rPr>
          <w:rFonts w:ascii="Arial" w:hAnsi="Arial" w:cs="Arial"/>
          <w:sz w:val="18"/>
          <w:szCs w:val="18"/>
          <w:lang w:eastAsia="zh-HK"/>
        </w:rPr>
        <w:t>A person is subject to criminal liability under Hong Kong law if he wilfully makes a false or untrue declaration pursuant to the Oaths and Declarations Ordinance.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a"/>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a"/>
      <w:spacing w:after="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a"/>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38D"/>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A277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25D7A"/>
    <w:multiLevelType w:val="hybridMultilevel"/>
    <w:tmpl w:val="AB627FFE"/>
    <w:lvl w:ilvl="0" w:tplc="FA423FD2">
      <w:start w:val="1"/>
      <w:numFmt w:val="decimal"/>
      <w:lvlText w:val="%1)"/>
      <w:lvlJc w:val="left"/>
      <w:pPr>
        <w:ind w:left="1440" w:hanging="360"/>
      </w:pPr>
      <w:rPr>
        <w:rFonts w:hint="eastAsia"/>
        <w:b w:val="0"/>
      </w:rPr>
    </w:lvl>
    <w:lvl w:ilvl="1" w:tplc="28F6D594">
      <w:start w:val="1"/>
      <w:numFmt w:val="decimal"/>
      <w:lvlText w:val="%2)"/>
      <w:lvlJc w:val="left"/>
      <w:pPr>
        <w:ind w:left="2160" w:hanging="360"/>
      </w:pPr>
      <w:rPr>
        <w:rFonts w:ascii="Arial" w:eastAsia="新細明體"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4E5F48"/>
    <w:multiLevelType w:val="hybridMultilevel"/>
    <w:tmpl w:val="BE5ECDE2"/>
    <w:lvl w:ilvl="0" w:tplc="53B83F3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1520F"/>
    <w:multiLevelType w:val="hybridMultilevel"/>
    <w:tmpl w:val="D46E2A5E"/>
    <w:lvl w:ilvl="0" w:tplc="E3B89BA0">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1840D1"/>
    <w:multiLevelType w:val="hybridMultilevel"/>
    <w:tmpl w:val="12628096"/>
    <w:lvl w:ilvl="0" w:tplc="28F6D594">
      <w:start w:val="1"/>
      <w:numFmt w:val="decimal"/>
      <w:lvlText w:val="%1)"/>
      <w:lvlJc w:val="left"/>
      <w:pPr>
        <w:ind w:left="2160" w:hanging="360"/>
      </w:pPr>
      <w:rPr>
        <w:rFonts w:ascii="Arial" w:eastAsia="新細明體"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3D03B58"/>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06C44"/>
    <w:multiLevelType w:val="multilevel"/>
    <w:tmpl w:val="63701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6C7687"/>
    <w:multiLevelType w:val="multilevel"/>
    <w:tmpl w:val="31806E8A"/>
    <w:lvl w:ilvl="0">
      <w:start w:val="1"/>
      <w:numFmt w:val="decimal"/>
      <w:lvlText w:val="%1."/>
      <w:lvlJc w:val="left"/>
      <w:pPr>
        <w:tabs>
          <w:tab w:val="num" w:pos="360"/>
        </w:tabs>
        <w:ind w:left="360" w:hanging="360"/>
      </w:pPr>
      <w:rPr>
        <w:rFonts w:ascii="Times New Roman" w:hAnsi="Times New Roman" w:cs="Times New Roman" w:hint="eastAsia"/>
        <w:b/>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9" w15:restartNumberingAfterBreak="0">
    <w:nsid w:val="1A1F3C92"/>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E6B4F"/>
    <w:multiLevelType w:val="hybridMultilevel"/>
    <w:tmpl w:val="12628096"/>
    <w:lvl w:ilvl="0" w:tplc="28F6D594">
      <w:start w:val="1"/>
      <w:numFmt w:val="decimal"/>
      <w:lvlText w:val="%1)"/>
      <w:lvlJc w:val="left"/>
      <w:pPr>
        <w:ind w:left="2160" w:hanging="360"/>
      </w:pPr>
      <w:rPr>
        <w:rFonts w:ascii="Arial" w:eastAsia="新細明體"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ACB1768"/>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30D8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E74468"/>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016A6"/>
    <w:multiLevelType w:val="hybridMultilevel"/>
    <w:tmpl w:val="97F61CA4"/>
    <w:lvl w:ilvl="0" w:tplc="1EACF7E6">
      <w:start w:val="1"/>
      <w:numFmt w:val="lowerRoman"/>
      <w:lvlText w:val="(%1)"/>
      <w:lvlJc w:val="left"/>
      <w:pPr>
        <w:ind w:left="720" w:hanging="360"/>
      </w:pPr>
      <w:rPr>
        <w:rFonts w:hint="default"/>
      </w:rPr>
    </w:lvl>
    <w:lvl w:ilvl="1" w:tplc="124C63E6">
      <w:start w:val="1"/>
      <w:numFmt w:val="decimal"/>
      <w:lvlText w:val="(%2)"/>
      <w:lvlJc w:val="left"/>
      <w:pPr>
        <w:ind w:left="1572" w:hanging="49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EA369E"/>
    <w:multiLevelType w:val="hybridMultilevel"/>
    <w:tmpl w:val="FAAC2E10"/>
    <w:lvl w:ilvl="0" w:tplc="3AA8D14E">
      <w:start w:val="1"/>
      <w:numFmt w:val="lowerRoman"/>
      <w:lvlText w:val="(%1)"/>
      <w:lvlJc w:val="left"/>
      <w:pPr>
        <w:ind w:left="720" w:hanging="360"/>
      </w:pPr>
      <w:rPr>
        <w:rFonts w:hint="default"/>
      </w:rPr>
    </w:lvl>
    <w:lvl w:ilvl="1" w:tplc="756E7A0E">
      <w:start w:val="1"/>
      <w:numFmt w:val="decimal"/>
      <w:lvlText w:val="%2)"/>
      <w:lvlJc w:val="left"/>
      <w:pPr>
        <w:ind w:left="1620" w:hanging="5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3093F"/>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55471C"/>
    <w:multiLevelType w:val="hybridMultilevel"/>
    <w:tmpl w:val="EE0CF732"/>
    <w:lvl w:ilvl="0" w:tplc="ED021D5C">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F1E30"/>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CE6E9A"/>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E000E5"/>
    <w:multiLevelType w:val="multilevel"/>
    <w:tmpl w:val="2EE000E5"/>
    <w:lvl w:ilvl="0">
      <w:start w:val="1"/>
      <w:numFmt w:val="decimal"/>
      <w:lvlText w:val="%1."/>
      <w:lvlJc w:val="left"/>
      <w:pPr>
        <w:tabs>
          <w:tab w:val="left" w:pos="360"/>
        </w:tabs>
        <w:ind w:left="360" w:hanging="360"/>
      </w:pPr>
      <w:rPr>
        <w:rFonts w:ascii="Times New Roman" w:hAnsi="Times New Roman" w:cs="Times New Roman"/>
        <w:b/>
        <w:kern w:val="2"/>
        <w:sz w:val="21"/>
        <w:szCs w:val="21"/>
      </w:rPr>
    </w:lvl>
    <w:lvl w:ilvl="1" w:tentative="1">
      <w:start w:val="1"/>
      <w:numFmt w:val="lowerLetter"/>
      <w:lvlText w:val="%2)"/>
      <w:lvlJc w:val="left"/>
      <w:pPr>
        <w:tabs>
          <w:tab w:val="left" w:pos="840"/>
        </w:tabs>
        <w:ind w:left="840" w:hanging="420"/>
      </w:pPr>
      <w:rPr>
        <w:rFonts w:ascii="Times New Roman" w:hAnsi="Times New Roman" w:cs="Times New Roman"/>
        <w:kern w:val="2"/>
        <w:sz w:val="21"/>
        <w:szCs w:val="21"/>
      </w:rPr>
    </w:lvl>
    <w:lvl w:ilvl="2" w:tentative="1">
      <w:start w:val="1"/>
      <w:numFmt w:val="lowerRoman"/>
      <w:lvlText w:val="%3."/>
      <w:lvlJc w:val="right"/>
      <w:pPr>
        <w:tabs>
          <w:tab w:val="left" w:pos="1260"/>
        </w:tabs>
        <w:ind w:left="1260" w:hanging="420"/>
      </w:pPr>
      <w:rPr>
        <w:rFonts w:ascii="Times New Roman" w:hAnsi="Times New Roman" w:cs="Times New Roman"/>
        <w:kern w:val="2"/>
        <w:sz w:val="21"/>
        <w:szCs w:val="21"/>
      </w:rPr>
    </w:lvl>
    <w:lvl w:ilvl="3" w:tentative="1">
      <w:start w:val="1"/>
      <w:numFmt w:val="decimal"/>
      <w:lvlText w:val="%4."/>
      <w:lvlJc w:val="left"/>
      <w:pPr>
        <w:tabs>
          <w:tab w:val="left" w:pos="1680"/>
        </w:tabs>
        <w:ind w:left="1680" w:hanging="420"/>
      </w:pPr>
      <w:rPr>
        <w:rFonts w:ascii="Times New Roman" w:hAnsi="Times New Roman" w:cs="Times New Roman"/>
        <w:kern w:val="2"/>
        <w:sz w:val="21"/>
        <w:szCs w:val="21"/>
      </w:rPr>
    </w:lvl>
    <w:lvl w:ilvl="4" w:tentative="1">
      <w:start w:val="1"/>
      <w:numFmt w:val="lowerLetter"/>
      <w:lvlText w:val="%5)"/>
      <w:lvlJc w:val="left"/>
      <w:pPr>
        <w:tabs>
          <w:tab w:val="left" w:pos="2100"/>
        </w:tabs>
        <w:ind w:left="2100" w:hanging="420"/>
      </w:pPr>
      <w:rPr>
        <w:rFonts w:ascii="Times New Roman" w:hAnsi="Times New Roman" w:cs="Times New Roman"/>
        <w:kern w:val="2"/>
        <w:sz w:val="21"/>
        <w:szCs w:val="21"/>
      </w:rPr>
    </w:lvl>
    <w:lvl w:ilvl="5" w:tentative="1">
      <w:start w:val="1"/>
      <w:numFmt w:val="lowerRoman"/>
      <w:lvlText w:val="%6."/>
      <w:lvlJc w:val="right"/>
      <w:pPr>
        <w:tabs>
          <w:tab w:val="left" w:pos="2520"/>
        </w:tabs>
        <w:ind w:left="2520" w:hanging="420"/>
      </w:pPr>
      <w:rPr>
        <w:rFonts w:ascii="Times New Roman" w:hAnsi="Times New Roman" w:cs="Times New Roman"/>
        <w:kern w:val="2"/>
        <w:sz w:val="21"/>
        <w:szCs w:val="21"/>
      </w:rPr>
    </w:lvl>
    <w:lvl w:ilvl="6" w:tentative="1">
      <w:start w:val="1"/>
      <w:numFmt w:val="decimal"/>
      <w:lvlText w:val="%7."/>
      <w:lvlJc w:val="left"/>
      <w:pPr>
        <w:tabs>
          <w:tab w:val="left" w:pos="2940"/>
        </w:tabs>
        <w:ind w:left="2940" w:hanging="420"/>
      </w:pPr>
      <w:rPr>
        <w:rFonts w:ascii="Times New Roman" w:hAnsi="Times New Roman" w:cs="Times New Roman"/>
        <w:kern w:val="2"/>
        <w:sz w:val="21"/>
        <w:szCs w:val="21"/>
      </w:rPr>
    </w:lvl>
    <w:lvl w:ilvl="7" w:tentative="1">
      <w:start w:val="1"/>
      <w:numFmt w:val="lowerLetter"/>
      <w:lvlText w:val="%8)"/>
      <w:lvlJc w:val="left"/>
      <w:pPr>
        <w:tabs>
          <w:tab w:val="left" w:pos="3360"/>
        </w:tabs>
        <w:ind w:left="3360" w:hanging="420"/>
      </w:pPr>
      <w:rPr>
        <w:rFonts w:ascii="Times New Roman" w:hAnsi="Times New Roman" w:cs="Times New Roman"/>
        <w:kern w:val="2"/>
        <w:sz w:val="21"/>
        <w:szCs w:val="21"/>
      </w:rPr>
    </w:lvl>
    <w:lvl w:ilvl="8" w:tentative="1">
      <w:start w:val="1"/>
      <w:numFmt w:val="lowerRoman"/>
      <w:lvlText w:val="%9."/>
      <w:lvlJc w:val="right"/>
      <w:pPr>
        <w:tabs>
          <w:tab w:val="left" w:pos="3780"/>
        </w:tabs>
        <w:ind w:left="3780" w:hanging="420"/>
      </w:pPr>
      <w:rPr>
        <w:rFonts w:ascii="Times New Roman" w:hAnsi="Times New Roman" w:cs="Times New Roman"/>
        <w:kern w:val="2"/>
        <w:sz w:val="21"/>
        <w:szCs w:val="21"/>
      </w:rPr>
    </w:lvl>
  </w:abstractNum>
  <w:abstractNum w:abstractNumId="21" w15:restartNumberingAfterBreak="0">
    <w:nsid w:val="2FD41666"/>
    <w:multiLevelType w:val="hybridMultilevel"/>
    <w:tmpl w:val="434C0DFE"/>
    <w:lvl w:ilvl="0" w:tplc="3FF87378">
      <w:start w:val="1"/>
      <w:numFmt w:val="decimal"/>
      <w:lvlText w:val="%1)"/>
      <w:lvlJc w:val="left"/>
      <w:pPr>
        <w:ind w:left="960" w:hanging="480"/>
      </w:pPr>
      <w:rPr>
        <w:rFonts w:ascii="Arial" w:eastAsia="新細明體"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1C150D"/>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FA0EC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6774A8"/>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3237C4"/>
    <w:multiLevelType w:val="hybridMultilevel"/>
    <w:tmpl w:val="2CDA301A"/>
    <w:lvl w:ilvl="0" w:tplc="A260CD74">
      <w:start w:val="1"/>
      <w:numFmt w:val="lowerRoman"/>
      <w:lvlText w:val="(%1)"/>
      <w:lvlJc w:val="left"/>
      <w:pPr>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260CD74">
      <w:start w:val="1"/>
      <w:numFmt w:val="lowerRoman"/>
      <w:lvlText w:val="(%4)"/>
      <w:lvlJc w:val="left"/>
      <w:pPr>
        <w:ind w:left="2880" w:hanging="360"/>
      </w:pPr>
      <w:rPr>
        <w:rFonts w:cs="Times New Roman" w:hint="eastAsi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777F4F"/>
    <w:multiLevelType w:val="hybridMultilevel"/>
    <w:tmpl w:val="DB143EDE"/>
    <w:lvl w:ilvl="0" w:tplc="DC4C09C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E13A3F"/>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DC32AA"/>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CB7A76"/>
    <w:multiLevelType w:val="hybridMultilevel"/>
    <w:tmpl w:val="946456C6"/>
    <w:lvl w:ilvl="0" w:tplc="1EACF7E6">
      <w:start w:val="1"/>
      <w:numFmt w:val="lowerRoman"/>
      <w:lvlText w:val="(%1)"/>
      <w:lvlJc w:val="left"/>
      <w:pPr>
        <w:ind w:left="720" w:hanging="360"/>
      </w:pPr>
      <w:rPr>
        <w:rFonts w:hint="default"/>
      </w:rPr>
    </w:lvl>
    <w:lvl w:ilvl="1" w:tplc="66A8AE7C">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1E5C14"/>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D54612"/>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A41A1A"/>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37106D"/>
    <w:multiLevelType w:val="hybridMultilevel"/>
    <w:tmpl w:val="C9BCAB9A"/>
    <w:lvl w:ilvl="0" w:tplc="4D8C54D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B32765E"/>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4D138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4BCE5D65"/>
    <w:multiLevelType w:val="hybridMultilevel"/>
    <w:tmpl w:val="68E69E40"/>
    <w:lvl w:ilvl="0" w:tplc="A260CD74">
      <w:start w:val="1"/>
      <w:numFmt w:val="lowerRoman"/>
      <w:lvlText w:val="(%1)"/>
      <w:lvlJc w:val="left"/>
      <w:pPr>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2D2A49"/>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662A8C"/>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9E7DF3"/>
    <w:multiLevelType w:val="hybridMultilevel"/>
    <w:tmpl w:val="E4A40A98"/>
    <w:lvl w:ilvl="0" w:tplc="5EEAC800">
      <w:start w:val="1"/>
      <w:numFmt w:val="lowerRoman"/>
      <w:lvlText w:val="(%1)"/>
      <w:lvlJc w:val="right"/>
      <w:pPr>
        <w:ind w:left="1040" w:hanging="480"/>
      </w:pPr>
      <w:rPr>
        <w:rFonts w:hint="default"/>
        <w:color w:val="auto"/>
      </w:rPr>
    </w:lvl>
    <w:lvl w:ilvl="1" w:tplc="40D450DE">
      <w:start w:val="1"/>
      <w:numFmt w:val="decimal"/>
      <w:lvlText w:val="%2."/>
      <w:lvlJc w:val="left"/>
      <w:pPr>
        <w:ind w:left="2000" w:hanging="96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0" w15:restartNumberingAfterBreak="0">
    <w:nsid w:val="4FE42D1D"/>
    <w:multiLevelType w:val="hybridMultilevel"/>
    <w:tmpl w:val="77A0D7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502311F0"/>
    <w:multiLevelType w:val="hybridMultilevel"/>
    <w:tmpl w:val="1048EE0E"/>
    <w:lvl w:ilvl="0" w:tplc="CDFA6A64">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64429FA"/>
    <w:multiLevelType w:val="hybridMultilevel"/>
    <w:tmpl w:val="0A50FA58"/>
    <w:lvl w:ilvl="0" w:tplc="1EACF7E6">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15:restartNumberingAfterBreak="0">
    <w:nsid w:val="591E2B92"/>
    <w:multiLevelType w:val="hybridMultilevel"/>
    <w:tmpl w:val="4B544210"/>
    <w:lvl w:ilvl="0" w:tplc="C768821C">
      <w:start w:val="1"/>
      <w:numFmt w:val="decimal"/>
      <w:lvlText w:val="%1."/>
      <w:lvlJc w:val="left"/>
      <w:pPr>
        <w:ind w:left="360" w:hanging="360"/>
      </w:pPr>
      <w:rPr>
        <w:rFonts w:eastAsia="新細明體" w:hint="default"/>
      </w:rPr>
    </w:lvl>
    <w:lvl w:ilvl="1" w:tplc="28F6D594">
      <w:start w:val="1"/>
      <w:numFmt w:val="decimal"/>
      <w:lvlText w:val="%2)"/>
      <w:lvlJc w:val="left"/>
      <w:pPr>
        <w:ind w:left="960" w:hanging="480"/>
      </w:pPr>
      <w:rPr>
        <w:rFonts w:ascii="Arial" w:eastAsia="新細明體" w:hAnsi="Arial" w:cs="Arial" w:hint="default"/>
      </w:rPr>
    </w:lvl>
    <w:lvl w:ilvl="2" w:tplc="0409001B">
      <w:start w:val="1"/>
      <w:numFmt w:val="lowerRoman"/>
      <w:lvlText w:val="%3."/>
      <w:lvlJc w:val="right"/>
      <w:pPr>
        <w:ind w:left="1440" w:hanging="480"/>
      </w:pPr>
    </w:lvl>
    <w:lvl w:ilvl="3" w:tplc="F174B290">
      <w:start w:val="1"/>
      <w:numFmt w:val="lowerRoman"/>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CCA7F1C"/>
    <w:multiLevelType w:val="hybridMultilevel"/>
    <w:tmpl w:val="4C9C5450"/>
    <w:lvl w:ilvl="0" w:tplc="1EACF7E6">
      <w:start w:val="1"/>
      <w:numFmt w:val="lowerRoman"/>
      <w:lvlText w:val="(%1)"/>
      <w:lvlJc w:val="left"/>
      <w:pPr>
        <w:ind w:left="720" w:hanging="360"/>
      </w:pPr>
      <w:rPr>
        <w:rFonts w:hint="default"/>
      </w:rPr>
    </w:lvl>
    <w:lvl w:ilvl="1" w:tplc="74427966">
      <w:start w:val="1"/>
      <w:numFmt w:val="decimal"/>
      <w:lvlText w:val="%2."/>
      <w:lvlJc w:val="left"/>
      <w:pPr>
        <w:ind w:left="1800" w:hanging="720"/>
      </w:pPr>
      <w:rPr>
        <w:rFonts w:hint="default"/>
      </w:rPr>
    </w:lvl>
    <w:lvl w:ilvl="2" w:tplc="1CCE8DEA">
      <w:start w:val="1"/>
      <w:numFmt w:val="decimal"/>
      <w:lvlText w:val="(%3)"/>
      <w:lvlJc w:val="left"/>
      <w:pPr>
        <w:ind w:left="2448" w:hanging="468"/>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051DE2"/>
    <w:multiLevelType w:val="hybridMultilevel"/>
    <w:tmpl w:val="7E9CB632"/>
    <w:lvl w:ilvl="0" w:tplc="5BC62FCE">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EC45B6A"/>
    <w:multiLevelType w:val="hybridMultilevel"/>
    <w:tmpl w:val="6DD025F4"/>
    <w:lvl w:ilvl="0" w:tplc="9FB4464E">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79D2F4A"/>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012969"/>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371C44"/>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0" w15:restartNumberingAfterBreak="0">
    <w:nsid w:val="7CA04A5A"/>
    <w:multiLevelType w:val="hybridMultilevel"/>
    <w:tmpl w:val="318C1AC0"/>
    <w:lvl w:ilvl="0" w:tplc="FA423FD2">
      <w:start w:val="1"/>
      <w:numFmt w:val="decimal"/>
      <w:lvlText w:val="%1)"/>
      <w:lvlJc w:val="left"/>
      <w:pPr>
        <w:ind w:left="1440" w:hanging="360"/>
      </w:pPr>
      <w:rPr>
        <w:rFonts w:hint="eastAsia"/>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7FBF0861"/>
    <w:multiLevelType w:val="hybridMultilevel"/>
    <w:tmpl w:val="57746978"/>
    <w:lvl w:ilvl="0" w:tplc="666E2062">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2"/>
  </w:num>
  <w:num w:numId="3">
    <w:abstractNumId w:val="29"/>
  </w:num>
  <w:num w:numId="4">
    <w:abstractNumId w:val="23"/>
  </w:num>
  <w:num w:numId="5">
    <w:abstractNumId w:val="14"/>
  </w:num>
  <w:num w:numId="6">
    <w:abstractNumId w:val="44"/>
  </w:num>
  <w:num w:numId="7">
    <w:abstractNumId w:val="18"/>
  </w:num>
  <w:num w:numId="8">
    <w:abstractNumId w:val="16"/>
  </w:num>
  <w:num w:numId="9">
    <w:abstractNumId w:val="24"/>
  </w:num>
  <w:num w:numId="10">
    <w:abstractNumId w:val="6"/>
  </w:num>
  <w:num w:numId="11">
    <w:abstractNumId w:val="9"/>
  </w:num>
  <w:num w:numId="12">
    <w:abstractNumId w:val="47"/>
  </w:num>
  <w:num w:numId="13">
    <w:abstractNumId w:val="30"/>
  </w:num>
  <w:num w:numId="14">
    <w:abstractNumId w:val="35"/>
  </w:num>
  <w:num w:numId="15">
    <w:abstractNumId w:val="0"/>
  </w:num>
  <w:num w:numId="16">
    <w:abstractNumId w:val="28"/>
  </w:num>
  <w:num w:numId="17">
    <w:abstractNumId w:val="19"/>
  </w:num>
  <w:num w:numId="18">
    <w:abstractNumId w:val="49"/>
  </w:num>
  <w:num w:numId="19">
    <w:abstractNumId w:val="4"/>
  </w:num>
  <w:num w:numId="20">
    <w:abstractNumId w:val="46"/>
  </w:num>
  <w:num w:numId="21">
    <w:abstractNumId w:val="41"/>
  </w:num>
  <w:num w:numId="22">
    <w:abstractNumId w:val="3"/>
  </w:num>
  <w:num w:numId="23">
    <w:abstractNumId w:val="26"/>
  </w:num>
  <w:num w:numId="24">
    <w:abstractNumId w:val="45"/>
  </w:num>
  <w:num w:numId="25">
    <w:abstractNumId w:val="33"/>
  </w:num>
  <w:num w:numId="26">
    <w:abstractNumId w:val="43"/>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7"/>
  </w:num>
  <w:num w:numId="50">
    <w:abstractNumId w:val="39"/>
  </w:num>
  <w:num w:numId="51">
    <w:abstractNumId w:val="12"/>
  </w:num>
  <w:num w:numId="52">
    <w:abstractNumId w:val="13"/>
  </w:num>
  <w:num w:numId="53">
    <w:abstractNumId w:val="38"/>
  </w:num>
  <w:num w:numId="54">
    <w:abstractNumId w:val="31"/>
  </w:num>
  <w:num w:numId="55">
    <w:abstractNumId w:val="11"/>
  </w:num>
  <w:num w:numId="56">
    <w:abstractNumId w:val="40"/>
  </w:num>
  <w:num w:numId="57">
    <w:abstractNumId w:val="42"/>
  </w:num>
  <w:num w:numId="58">
    <w:abstractNumId w:val="48"/>
  </w:num>
  <w:num w:numId="59">
    <w:abstractNumId w:val="37"/>
  </w:num>
  <w:num w:numId="60">
    <w:abstractNumId w:val="27"/>
  </w:num>
  <w:num w:numId="61">
    <w:abstractNumId w:val="15"/>
  </w:num>
  <w:num w:numId="62">
    <w:abstractNumId w:val="34"/>
  </w:num>
  <w:num w:numId="63">
    <w:abstractNumId w:val="36"/>
  </w:num>
  <w:num w:numId="64">
    <w:abstractNumId w:val="25"/>
  </w:num>
  <w:num w:numId="65">
    <w:abstractNumId w:val="32"/>
  </w:num>
  <w:num w:numId="66">
    <w:abstractNumId w:val="50"/>
  </w:num>
  <w:num w:numId="67">
    <w:abstractNumId w:val="2"/>
  </w:num>
  <w:num w:numId="68">
    <w:abstractNumId w:val="10"/>
  </w:num>
  <w:num w:numId="69">
    <w:abstractNumId w:val="5"/>
  </w:num>
  <w:num w:numId="70">
    <w:abstractNumId w:val="8"/>
  </w:num>
  <w:num w:numId="71">
    <w:abstractNumId w:val="20"/>
  </w:num>
  <w:num w:numId="72">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7E"/>
    <w:rsid w:val="000072BD"/>
    <w:rsid w:val="000132A9"/>
    <w:rsid w:val="000336D0"/>
    <w:rsid w:val="00046AD4"/>
    <w:rsid w:val="000557D3"/>
    <w:rsid w:val="0006227D"/>
    <w:rsid w:val="00062CF9"/>
    <w:rsid w:val="00062E19"/>
    <w:rsid w:val="00065137"/>
    <w:rsid w:val="00065C20"/>
    <w:rsid w:val="00066DD7"/>
    <w:rsid w:val="00067AF1"/>
    <w:rsid w:val="00071C06"/>
    <w:rsid w:val="00074DF0"/>
    <w:rsid w:val="000766D5"/>
    <w:rsid w:val="00085873"/>
    <w:rsid w:val="000862AC"/>
    <w:rsid w:val="00086FEF"/>
    <w:rsid w:val="00094498"/>
    <w:rsid w:val="000956AA"/>
    <w:rsid w:val="000A1528"/>
    <w:rsid w:val="000A4E84"/>
    <w:rsid w:val="000B0EA6"/>
    <w:rsid w:val="000B4F19"/>
    <w:rsid w:val="000B5AE3"/>
    <w:rsid w:val="000C3B9A"/>
    <w:rsid w:val="000C56EE"/>
    <w:rsid w:val="000D0393"/>
    <w:rsid w:val="000D1B19"/>
    <w:rsid w:val="000E0B58"/>
    <w:rsid w:val="00132434"/>
    <w:rsid w:val="00133955"/>
    <w:rsid w:val="001518A2"/>
    <w:rsid w:val="0016343B"/>
    <w:rsid w:val="00174616"/>
    <w:rsid w:val="00181773"/>
    <w:rsid w:val="00181C82"/>
    <w:rsid w:val="00184336"/>
    <w:rsid w:val="00190B8B"/>
    <w:rsid w:val="00191175"/>
    <w:rsid w:val="001A02F4"/>
    <w:rsid w:val="001C0A2C"/>
    <w:rsid w:val="001E7218"/>
    <w:rsid w:val="001F38EA"/>
    <w:rsid w:val="00210DEF"/>
    <w:rsid w:val="00223133"/>
    <w:rsid w:val="00231B34"/>
    <w:rsid w:val="00235635"/>
    <w:rsid w:val="002505CF"/>
    <w:rsid w:val="0025092A"/>
    <w:rsid w:val="00257CD4"/>
    <w:rsid w:val="00262744"/>
    <w:rsid w:val="00270E51"/>
    <w:rsid w:val="00272B0B"/>
    <w:rsid w:val="00273BE3"/>
    <w:rsid w:val="00281146"/>
    <w:rsid w:val="00284DD0"/>
    <w:rsid w:val="00286CB2"/>
    <w:rsid w:val="0029167A"/>
    <w:rsid w:val="002A300C"/>
    <w:rsid w:val="002A5B90"/>
    <w:rsid w:val="002A67B5"/>
    <w:rsid w:val="002A7E53"/>
    <w:rsid w:val="002D3873"/>
    <w:rsid w:val="002D4362"/>
    <w:rsid w:val="002D6E0F"/>
    <w:rsid w:val="002D79BA"/>
    <w:rsid w:val="002F4393"/>
    <w:rsid w:val="00304C32"/>
    <w:rsid w:val="003235D1"/>
    <w:rsid w:val="0032378E"/>
    <w:rsid w:val="00323D5A"/>
    <w:rsid w:val="00336B87"/>
    <w:rsid w:val="0034305C"/>
    <w:rsid w:val="003560EA"/>
    <w:rsid w:val="00356BD0"/>
    <w:rsid w:val="00372C3B"/>
    <w:rsid w:val="00385F50"/>
    <w:rsid w:val="003863C7"/>
    <w:rsid w:val="003867D5"/>
    <w:rsid w:val="003918A4"/>
    <w:rsid w:val="003A6617"/>
    <w:rsid w:val="003C0412"/>
    <w:rsid w:val="003C1CE8"/>
    <w:rsid w:val="003C3657"/>
    <w:rsid w:val="003C3B51"/>
    <w:rsid w:val="003D3DC6"/>
    <w:rsid w:val="003E0B90"/>
    <w:rsid w:val="003E161C"/>
    <w:rsid w:val="003F187E"/>
    <w:rsid w:val="003F6CDE"/>
    <w:rsid w:val="00404958"/>
    <w:rsid w:val="004117FA"/>
    <w:rsid w:val="004126B4"/>
    <w:rsid w:val="00425091"/>
    <w:rsid w:val="00425C8F"/>
    <w:rsid w:val="00427DDB"/>
    <w:rsid w:val="00441883"/>
    <w:rsid w:val="004461F3"/>
    <w:rsid w:val="00450001"/>
    <w:rsid w:val="00460E4A"/>
    <w:rsid w:val="00461781"/>
    <w:rsid w:val="00462BE4"/>
    <w:rsid w:val="004668CB"/>
    <w:rsid w:val="00474F86"/>
    <w:rsid w:val="00476046"/>
    <w:rsid w:val="00482A27"/>
    <w:rsid w:val="004831D3"/>
    <w:rsid w:val="00484551"/>
    <w:rsid w:val="00485A1A"/>
    <w:rsid w:val="00486587"/>
    <w:rsid w:val="004A763B"/>
    <w:rsid w:val="004B2F15"/>
    <w:rsid w:val="004C099E"/>
    <w:rsid w:val="004D15C4"/>
    <w:rsid w:val="004D26FD"/>
    <w:rsid w:val="004D61CA"/>
    <w:rsid w:val="004D697E"/>
    <w:rsid w:val="004E4DD3"/>
    <w:rsid w:val="004E7AAB"/>
    <w:rsid w:val="004F6205"/>
    <w:rsid w:val="00507DEE"/>
    <w:rsid w:val="00510EE2"/>
    <w:rsid w:val="00512E31"/>
    <w:rsid w:val="00525217"/>
    <w:rsid w:val="00527B7B"/>
    <w:rsid w:val="00532AC0"/>
    <w:rsid w:val="00555960"/>
    <w:rsid w:val="00563D56"/>
    <w:rsid w:val="0057243A"/>
    <w:rsid w:val="005724B6"/>
    <w:rsid w:val="005774B4"/>
    <w:rsid w:val="0058350D"/>
    <w:rsid w:val="005836AC"/>
    <w:rsid w:val="00593CE7"/>
    <w:rsid w:val="00593FD9"/>
    <w:rsid w:val="00597D5C"/>
    <w:rsid w:val="005A16D4"/>
    <w:rsid w:val="005B11FC"/>
    <w:rsid w:val="005D73A3"/>
    <w:rsid w:val="005D7D27"/>
    <w:rsid w:val="005E5A3E"/>
    <w:rsid w:val="005F65E2"/>
    <w:rsid w:val="00611732"/>
    <w:rsid w:val="00612BEC"/>
    <w:rsid w:val="00651505"/>
    <w:rsid w:val="00651BF9"/>
    <w:rsid w:val="00654FE9"/>
    <w:rsid w:val="006559EC"/>
    <w:rsid w:val="00660421"/>
    <w:rsid w:val="006646CC"/>
    <w:rsid w:val="00682911"/>
    <w:rsid w:val="00691DF6"/>
    <w:rsid w:val="00692B37"/>
    <w:rsid w:val="006A3720"/>
    <w:rsid w:val="006B1733"/>
    <w:rsid w:val="006B22D9"/>
    <w:rsid w:val="006C28F8"/>
    <w:rsid w:val="006D2C55"/>
    <w:rsid w:val="006E155F"/>
    <w:rsid w:val="006E68F8"/>
    <w:rsid w:val="006E7B6E"/>
    <w:rsid w:val="006F3E65"/>
    <w:rsid w:val="00706107"/>
    <w:rsid w:val="00710B96"/>
    <w:rsid w:val="0071348A"/>
    <w:rsid w:val="00720E31"/>
    <w:rsid w:val="00720EEC"/>
    <w:rsid w:val="0074248A"/>
    <w:rsid w:val="00746920"/>
    <w:rsid w:val="00760674"/>
    <w:rsid w:val="00761987"/>
    <w:rsid w:val="00763B9A"/>
    <w:rsid w:val="00767227"/>
    <w:rsid w:val="00772EE6"/>
    <w:rsid w:val="00794026"/>
    <w:rsid w:val="007B264A"/>
    <w:rsid w:val="007B66A2"/>
    <w:rsid w:val="007D0D06"/>
    <w:rsid w:val="007D0EAB"/>
    <w:rsid w:val="007E3F2A"/>
    <w:rsid w:val="007E79CE"/>
    <w:rsid w:val="007F68D5"/>
    <w:rsid w:val="00803D80"/>
    <w:rsid w:val="00807AE4"/>
    <w:rsid w:val="00810BE5"/>
    <w:rsid w:val="00820152"/>
    <w:rsid w:val="008231E8"/>
    <w:rsid w:val="0082465A"/>
    <w:rsid w:val="008326CC"/>
    <w:rsid w:val="00832F09"/>
    <w:rsid w:val="0085001D"/>
    <w:rsid w:val="00862761"/>
    <w:rsid w:val="0086716F"/>
    <w:rsid w:val="0087302E"/>
    <w:rsid w:val="008957BE"/>
    <w:rsid w:val="008B2849"/>
    <w:rsid w:val="008C2D29"/>
    <w:rsid w:val="008D7948"/>
    <w:rsid w:val="008E35B9"/>
    <w:rsid w:val="008F510B"/>
    <w:rsid w:val="0090130E"/>
    <w:rsid w:val="009015C9"/>
    <w:rsid w:val="00920653"/>
    <w:rsid w:val="00926692"/>
    <w:rsid w:val="00933257"/>
    <w:rsid w:val="0096049A"/>
    <w:rsid w:val="009738AB"/>
    <w:rsid w:val="00980585"/>
    <w:rsid w:val="00987CE8"/>
    <w:rsid w:val="009A2CF7"/>
    <w:rsid w:val="009B04BA"/>
    <w:rsid w:val="009D21AB"/>
    <w:rsid w:val="009D2689"/>
    <w:rsid w:val="009D6979"/>
    <w:rsid w:val="009D6FC1"/>
    <w:rsid w:val="009E64F9"/>
    <w:rsid w:val="009E6559"/>
    <w:rsid w:val="009F12D4"/>
    <w:rsid w:val="009F2DB7"/>
    <w:rsid w:val="009F6C32"/>
    <w:rsid w:val="00A003E3"/>
    <w:rsid w:val="00A043AE"/>
    <w:rsid w:val="00A11B9E"/>
    <w:rsid w:val="00A13910"/>
    <w:rsid w:val="00A23825"/>
    <w:rsid w:val="00A24840"/>
    <w:rsid w:val="00A464F8"/>
    <w:rsid w:val="00A563D6"/>
    <w:rsid w:val="00A63ACF"/>
    <w:rsid w:val="00A71115"/>
    <w:rsid w:val="00A74133"/>
    <w:rsid w:val="00A74A41"/>
    <w:rsid w:val="00A83D0C"/>
    <w:rsid w:val="00A903E2"/>
    <w:rsid w:val="00AB61B4"/>
    <w:rsid w:val="00AC1238"/>
    <w:rsid w:val="00AC5DAD"/>
    <w:rsid w:val="00AD17F6"/>
    <w:rsid w:val="00AD2BCE"/>
    <w:rsid w:val="00AD782A"/>
    <w:rsid w:val="00AE242B"/>
    <w:rsid w:val="00AF1D63"/>
    <w:rsid w:val="00B1193D"/>
    <w:rsid w:val="00B12C7D"/>
    <w:rsid w:val="00B21FC5"/>
    <w:rsid w:val="00B25A1A"/>
    <w:rsid w:val="00B269AB"/>
    <w:rsid w:val="00B31378"/>
    <w:rsid w:val="00B3769D"/>
    <w:rsid w:val="00B41ABC"/>
    <w:rsid w:val="00B45F07"/>
    <w:rsid w:val="00B61E90"/>
    <w:rsid w:val="00B80411"/>
    <w:rsid w:val="00B80493"/>
    <w:rsid w:val="00B8469C"/>
    <w:rsid w:val="00B926AA"/>
    <w:rsid w:val="00B96459"/>
    <w:rsid w:val="00B97C01"/>
    <w:rsid w:val="00BA143C"/>
    <w:rsid w:val="00BA1CCD"/>
    <w:rsid w:val="00BA5D76"/>
    <w:rsid w:val="00BA5F38"/>
    <w:rsid w:val="00BA6865"/>
    <w:rsid w:val="00BB0940"/>
    <w:rsid w:val="00BB3D8E"/>
    <w:rsid w:val="00BC595D"/>
    <w:rsid w:val="00BD79C8"/>
    <w:rsid w:val="00BE00E1"/>
    <w:rsid w:val="00BF1281"/>
    <w:rsid w:val="00C04622"/>
    <w:rsid w:val="00C1318F"/>
    <w:rsid w:val="00C33144"/>
    <w:rsid w:val="00C63F81"/>
    <w:rsid w:val="00C91D03"/>
    <w:rsid w:val="00C926F9"/>
    <w:rsid w:val="00C93066"/>
    <w:rsid w:val="00C94D14"/>
    <w:rsid w:val="00C95F05"/>
    <w:rsid w:val="00CA25C9"/>
    <w:rsid w:val="00CA285E"/>
    <w:rsid w:val="00CA3223"/>
    <w:rsid w:val="00CA40D2"/>
    <w:rsid w:val="00CA7076"/>
    <w:rsid w:val="00CB6EC6"/>
    <w:rsid w:val="00CB7DF7"/>
    <w:rsid w:val="00CC0B5A"/>
    <w:rsid w:val="00CC7AC5"/>
    <w:rsid w:val="00CD03F3"/>
    <w:rsid w:val="00CD0753"/>
    <w:rsid w:val="00CE422D"/>
    <w:rsid w:val="00CE5E77"/>
    <w:rsid w:val="00CE72C8"/>
    <w:rsid w:val="00CF3798"/>
    <w:rsid w:val="00D0663D"/>
    <w:rsid w:val="00D11122"/>
    <w:rsid w:val="00D12FC5"/>
    <w:rsid w:val="00D1733A"/>
    <w:rsid w:val="00D21595"/>
    <w:rsid w:val="00D220D8"/>
    <w:rsid w:val="00D26D90"/>
    <w:rsid w:val="00D302E7"/>
    <w:rsid w:val="00D47E07"/>
    <w:rsid w:val="00D55587"/>
    <w:rsid w:val="00D56A63"/>
    <w:rsid w:val="00D60445"/>
    <w:rsid w:val="00D6429B"/>
    <w:rsid w:val="00D65DEA"/>
    <w:rsid w:val="00D750D4"/>
    <w:rsid w:val="00D77312"/>
    <w:rsid w:val="00D82792"/>
    <w:rsid w:val="00D90D4A"/>
    <w:rsid w:val="00D944BC"/>
    <w:rsid w:val="00DA39E9"/>
    <w:rsid w:val="00DB28E2"/>
    <w:rsid w:val="00DB5E29"/>
    <w:rsid w:val="00DB6FBF"/>
    <w:rsid w:val="00DC4418"/>
    <w:rsid w:val="00DD0F63"/>
    <w:rsid w:val="00DD30A8"/>
    <w:rsid w:val="00DD4F1F"/>
    <w:rsid w:val="00DD4FC8"/>
    <w:rsid w:val="00DF0E77"/>
    <w:rsid w:val="00DF315A"/>
    <w:rsid w:val="00DF48F3"/>
    <w:rsid w:val="00E05747"/>
    <w:rsid w:val="00E26565"/>
    <w:rsid w:val="00E32F90"/>
    <w:rsid w:val="00E4781C"/>
    <w:rsid w:val="00E61496"/>
    <w:rsid w:val="00E77147"/>
    <w:rsid w:val="00EA3D59"/>
    <w:rsid w:val="00EA5D99"/>
    <w:rsid w:val="00EB220F"/>
    <w:rsid w:val="00EB60B0"/>
    <w:rsid w:val="00ED47B9"/>
    <w:rsid w:val="00EE095B"/>
    <w:rsid w:val="00F077B3"/>
    <w:rsid w:val="00F3188D"/>
    <w:rsid w:val="00F3298D"/>
    <w:rsid w:val="00F35804"/>
    <w:rsid w:val="00F35EA9"/>
    <w:rsid w:val="00F37FF9"/>
    <w:rsid w:val="00F40AF2"/>
    <w:rsid w:val="00F42347"/>
    <w:rsid w:val="00F5107C"/>
    <w:rsid w:val="00F510B5"/>
    <w:rsid w:val="00F5301B"/>
    <w:rsid w:val="00F57F8A"/>
    <w:rsid w:val="00F609CF"/>
    <w:rsid w:val="00F769EC"/>
    <w:rsid w:val="00F85FFD"/>
    <w:rsid w:val="00F86D18"/>
    <w:rsid w:val="00F93904"/>
    <w:rsid w:val="00F972F2"/>
    <w:rsid w:val="00FA7887"/>
    <w:rsid w:val="00FB5AB3"/>
    <w:rsid w:val="00FC17A7"/>
    <w:rsid w:val="00FC34B9"/>
    <w:rsid w:val="00FD4514"/>
    <w:rsid w:val="00FD7717"/>
    <w:rsid w:val="00FF2511"/>
    <w:rsid w:val="00FF2F7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103D0-9056-496D-88E1-73B79353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97E"/>
    <w:pPr>
      <w:widowControl w:val="0"/>
      <w:jc w:val="both"/>
    </w:pPr>
    <w:rPr>
      <w:rFonts w:asciiTheme="minorHAnsi" w:eastAsiaTheme="minorEastAsia" w:hAnsiTheme="minorHAnsi" w:cstheme="minorBidi"/>
      <w:kern w:val="2"/>
      <w:sz w:val="21"/>
      <w:szCs w:val="22"/>
      <w:lang w:val="en-US" w:eastAsia="zh-CN"/>
    </w:rPr>
  </w:style>
  <w:style w:type="paragraph" w:styleId="2">
    <w:name w:val="heading 2"/>
    <w:basedOn w:val="a"/>
    <w:next w:val="a0"/>
    <w:link w:val="20"/>
    <w:qFormat/>
    <w:rsid w:val="00682911"/>
    <w:pPr>
      <w:keepNext/>
      <w:tabs>
        <w:tab w:val="left" w:pos="1440"/>
      </w:tabs>
      <w:jc w:val="center"/>
      <w:outlineLvl w:val="1"/>
    </w:pPr>
    <w:rPr>
      <w:rFonts w:ascii="Arial" w:eastAsia="新細明體" w:hAnsi="Arial" w:cs="Times New Roman"/>
      <w:i/>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B6FBF"/>
    <w:rPr>
      <w:sz w:val="22"/>
      <w:szCs w:val="22"/>
      <w:lang w:val="en-US"/>
    </w:rPr>
  </w:style>
  <w:style w:type="paragraph" w:styleId="a5">
    <w:name w:val="footnote text"/>
    <w:basedOn w:val="a"/>
    <w:link w:val="a6"/>
    <w:uiPriority w:val="99"/>
    <w:unhideWhenUsed/>
    <w:rsid w:val="004D697E"/>
    <w:pPr>
      <w:snapToGrid w:val="0"/>
      <w:jc w:val="left"/>
    </w:pPr>
    <w:rPr>
      <w:sz w:val="20"/>
      <w:szCs w:val="20"/>
      <w:lang w:val="en-GB" w:eastAsia="zh-TW"/>
    </w:rPr>
  </w:style>
  <w:style w:type="character" w:customStyle="1" w:styleId="a6">
    <w:name w:val="註腳文字 字元"/>
    <w:basedOn w:val="a1"/>
    <w:link w:val="a5"/>
    <w:uiPriority w:val="99"/>
    <w:rsid w:val="004D697E"/>
    <w:rPr>
      <w:rFonts w:asciiTheme="minorHAnsi" w:eastAsiaTheme="minorEastAsia" w:hAnsiTheme="minorHAnsi" w:cstheme="minorBidi"/>
      <w:kern w:val="2"/>
    </w:rPr>
  </w:style>
  <w:style w:type="character" w:styleId="a7">
    <w:name w:val="footnote reference"/>
    <w:basedOn w:val="a1"/>
    <w:uiPriority w:val="99"/>
    <w:unhideWhenUsed/>
    <w:rsid w:val="004D697E"/>
    <w:rPr>
      <w:vertAlign w:val="superscript"/>
    </w:rPr>
  </w:style>
  <w:style w:type="paragraph" w:customStyle="1" w:styleId="1">
    <w:name w:val="正文1"/>
    <w:rsid w:val="004D697E"/>
    <w:pPr>
      <w:widowControl w:val="0"/>
      <w:suppressAutoHyphens/>
    </w:pPr>
    <w:rPr>
      <w:rFonts w:ascii="Courier" w:eastAsia="Times New Roman" w:hAnsi="Courier"/>
      <w:color w:val="000000"/>
      <w:lang w:val="en-US" w:eastAsia="en-CA"/>
    </w:rPr>
  </w:style>
  <w:style w:type="paragraph" w:styleId="a8">
    <w:name w:val="List Paragraph"/>
    <w:basedOn w:val="a"/>
    <w:uiPriority w:val="34"/>
    <w:qFormat/>
    <w:rsid w:val="004D697E"/>
    <w:pPr>
      <w:ind w:leftChars="200" w:left="480"/>
      <w:jc w:val="left"/>
    </w:pPr>
    <w:rPr>
      <w:sz w:val="24"/>
      <w:lang w:val="en-GB" w:eastAsia="zh-TW"/>
    </w:rPr>
  </w:style>
  <w:style w:type="paragraph" w:customStyle="1" w:styleId="KWNormal">
    <w:name w:val="K&amp;W Normal"/>
    <w:link w:val="KWNormalChar"/>
    <w:rsid w:val="004D697E"/>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KWNormalChar">
    <w:name w:val="K&amp;W Normal Char"/>
    <w:link w:val="KWNormal"/>
    <w:locked/>
    <w:rsid w:val="004D697E"/>
    <w:rPr>
      <w:rFonts w:ascii="Arial" w:eastAsia="Times New Roman" w:hAnsi="Arial" w:cs="Arial"/>
      <w:color w:val="000000"/>
      <w:kern w:val="2"/>
      <w:sz w:val="21"/>
      <w:szCs w:val="21"/>
      <w:lang w:val="en-US" w:eastAsia="zh-CN"/>
    </w:rPr>
  </w:style>
  <w:style w:type="table" w:styleId="a9">
    <w:name w:val="Table Grid"/>
    <w:basedOn w:val="a2"/>
    <w:uiPriority w:val="59"/>
    <w:rsid w:val="004D697E"/>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A5B90"/>
    <w:pPr>
      <w:tabs>
        <w:tab w:val="center" w:pos="4153"/>
        <w:tab w:val="right" w:pos="8306"/>
      </w:tabs>
    </w:pPr>
  </w:style>
  <w:style w:type="character" w:customStyle="1" w:styleId="ab">
    <w:name w:val="頁首 字元"/>
    <w:basedOn w:val="a1"/>
    <w:link w:val="aa"/>
    <w:uiPriority w:val="99"/>
    <w:rsid w:val="002A5B90"/>
    <w:rPr>
      <w:rFonts w:asciiTheme="minorHAnsi" w:eastAsiaTheme="minorEastAsia" w:hAnsiTheme="minorHAnsi" w:cstheme="minorBidi"/>
      <w:kern w:val="2"/>
      <w:sz w:val="21"/>
      <w:szCs w:val="22"/>
      <w:lang w:val="en-US" w:eastAsia="zh-CN"/>
    </w:rPr>
  </w:style>
  <w:style w:type="paragraph" w:styleId="ac">
    <w:name w:val="footer"/>
    <w:basedOn w:val="a"/>
    <w:link w:val="ad"/>
    <w:uiPriority w:val="99"/>
    <w:unhideWhenUsed/>
    <w:rsid w:val="002A5B90"/>
    <w:pPr>
      <w:tabs>
        <w:tab w:val="center" w:pos="4153"/>
        <w:tab w:val="right" w:pos="8306"/>
      </w:tabs>
    </w:pPr>
  </w:style>
  <w:style w:type="character" w:customStyle="1" w:styleId="ad">
    <w:name w:val="頁尾 字元"/>
    <w:basedOn w:val="a1"/>
    <w:link w:val="ac"/>
    <w:uiPriority w:val="99"/>
    <w:rsid w:val="002A5B90"/>
    <w:rPr>
      <w:rFonts w:asciiTheme="minorHAnsi" w:eastAsiaTheme="minorEastAsia" w:hAnsiTheme="minorHAnsi" w:cstheme="minorBidi"/>
      <w:kern w:val="2"/>
      <w:sz w:val="21"/>
      <w:szCs w:val="22"/>
      <w:lang w:val="en-US" w:eastAsia="zh-CN"/>
    </w:rPr>
  </w:style>
  <w:style w:type="paragraph" w:customStyle="1" w:styleId="10">
    <w:name w:val="1"/>
    <w:basedOn w:val="a"/>
    <w:rsid w:val="000C56EE"/>
    <w:rPr>
      <w:rFonts w:ascii="Tahoma" w:eastAsia="SimSun" w:hAnsi="Tahoma" w:cs="Times New Roman"/>
      <w:sz w:val="24"/>
      <w:szCs w:val="20"/>
    </w:rPr>
  </w:style>
  <w:style w:type="character" w:styleId="ae">
    <w:name w:val="page number"/>
    <w:uiPriority w:val="99"/>
    <w:rsid w:val="00BE00E1"/>
    <w:rPr>
      <w:rFonts w:cs="Times New Roman"/>
    </w:rPr>
  </w:style>
  <w:style w:type="paragraph" w:customStyle="1" w:styleId="af">
    <w:name w:val="脚注"/>
    <w:basedOn w:val="a5"/>
    <w:uiPriority w:val="99"/>
    <w:rsid w:val="00BE00E1"/>
    <w:rPr>
      <w:rFonts w:ascii="Times New Roman" w:eastAsia="SimSun" w:hAnsi="Times New Roman" w:cs="Times New Roman"/>
      <w:sz w:val="24"/>
      <w:szCs w:val="24"/>
      <w:lang w:val="en-US" w:eastAsia="zh-CN"/>
    </w:rPr>
  </w:style>
  <w:style w:type="paragraph" w:customStyle="1" w:styleId="KWBodytext">
    <w:name w:val="K&amp;W Body text"/>
    <w:basedOn w:val="KWNormal"/>
    <w:rsid w:val="00BE00E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paragraph" w:styleId="21">
    <w:name w:val="toc 2"/>
    <w:basedOn w:val="a"/>
    <w:next w:val="a"/>
    <w:autoRedefine/>
    <w:uiPriority w:val="39"/>
    <w:qFormat/>
    <w:rsid w:val="002D3873"/>
    <w:pPr>
      <w:widowControl/>
      <w:tabs>
        <w:tab w:val="right" w:leader="dot" w:pos="8505"/>
      </w:tabs>
      <w:spacing w:line="500" w:lineRule="exact"/>
      <w:jc w:val="left"/>
    </w:pPr>
    <w:rPr>
      <w:rFonts w:ascii="Times New Roman" w:eastAsia="FangSong_GB2312" w:hAnsi="Times New Roman" w:cs="Times New Roman"/>
      <w:noProof/>
      <w:kern w:val="0"/>
      <w:sz w:val="32"/>
      <w:szCs w:val="32"/>
    </w:rPr>
  </w:style>
  <w:style w:type="character" w:styleId="af0">
    <w:name w:val="Hyperlink"/>
    <w:uiPriority w:val="99"/>
    <w:rsid w:val="002D3873"/>
    <w:rPr>
      <w:rFonts w:cs="Times New Roman"/>
      <w:color w:val="0000FF"/>
      <w:u w:val="single"/>
    </w:rPr>
  </w:style>
  <w:style w:type="paragraph" w:styleId="af1">
    <w:name w:val="Revision"/>
    <w:hidden/>
    <w:uiPriority w:val="99"/>
    <w:semiHidden/>
    <w:rsid w:val="005836AC"/>
    <w:rPr>
      <w:rFonts w:asciiTheme="minorHAnsi" w:eastAsiaTheme="minorEastAsia" w:hAnsiTheme="minorHAnsi" w:cstheme="minorBidi"/>
      <w:kern w:val="2"/>
      <w:sz w:val="21"/>
      <w:szCs w:val="22"/>
      <w:lang w:val="en-US" w:eastAsia="zh-CN"/>
    </w:rPr>
  </w:style>
  <w:style w:type="paragraph" w:styleId="af2">
    <w:name w:val="Balloon Text"/>
    <w:basedOn w:val="a"/>
    <w:link w:val="af3"/>
    <w:uiPriority w:val="99"/>
    <w:semiHidden/>
    <w:unhideWhenUsed/>
    <w:rsid w:val="005836AC"/>
    <w:rPr>
      <w:rFonts w:ascii="新細明體" w:eastAsia="新細明體"/>
      <w:sz w:val="18"/>
      <w:szCs w:val="18"/>
    </w:rPr>
  </w:style>
  <w:style w:type="character" w:customStyle="1" w:styleId="af3">
    <w:name w:val="註解方塊文字 字元"/>
    <w:basedOn w:val="a1"/>
    <w:link w:val="af2"/>
    <w:uiPriority w:val="99"/>
    <w:semiHidden/>
    <w:rsid w:val="005836AC"/>
    <w:rPr>
      <w:rFonts w:ascii="新細明體" w:hAnsiTheme="minorHAnsi" w:cstheme="minorBidi"/>
      <w:kern w:val="2"/>
      <w:sz w:val="18"/>
      <w:szCs w:val="18"/>
      <w:lang w:val="en-US" w:eastAsia="zh-CN"/>
    </w:rPr>
  </w:style>
  <w:style w:type="character" w:customStyle="1" w:styleId="20">
    <w:name w:val="標題 2 字元"/>
    <w:basedOn w:val="a1"/>
    <w:link w:val="2"/>
    <w:rsid w:val="00682911"/>
    <w:rPr>
      <w:rFonts w:ascii="Arial" w:hAnsi="Arial"/>
      <w:i/>
      <w:kern w:val="2"/>
      <w:sz w:val="28"/>
      <w:lang w:val="en-US"/>
    </w:rPr>
  </w:style>
  <w:style w:type="paragraph" w:styleId="a0">
    <w:name w:val="Normal Indent"/>
    <w:basedOn w:val="a"/>
    <w:uiPriority w:val="99"/>
    <w:semiHidden/>
    <w:unhideWhenUsed/>
    <w:rsid w:val="00682911"/>
    <w:pPr>
      <w:ind w:leftChars="200" w:left="480"/>
    </w:pPr>
  </w:style>
  <w:style w:type="character" w:customStyle="1" w:styleId="DeltaViewDeletion">
    <w:name w:val="DeltaView Deletion"/>
    <w:uiPriority w:val="99"/>
    <w:rsid w:val="004B2F15"/>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9919">
      <w:bodyDiv w:val="1"/>
      <w:marLeft w:val="0"/>
      <w:marRight w:val="0"/>
      <w:marTop w:val="0"/>
      <w:marBottom w:val="0"/>
      <w:divBdr>
        <w:top w:val="none" w:sz="0" w:space="0" w:color="auto"/>
        <w:left w:val="none" w:sz="0" w:space="0" w:color="auto"/>
        <w:bottom w:val="none" w:sz="0" w:space="0" w:color="auto"/>
        <w:right w:val="none" w:sz="0" w:space="0" w:color="auto"/>
      </w:divBdr>
      <w:divsChild>
        <w:div w:id="1093354758">
          <w:marLeft w:val="0"/>
          <w:marRight w:val="0"/>
          <w:marTop w:val="0"/>
          <w:marBottom w:val="0"/>
          <w:divBdr>
            <w:top w:val="none" w:sz="0" w:space="0" w:color="auto"/>
            <w:left w:val="none" w:sz="0" w:space="0" w:color="auto"/>
            <w:bottom w:val="none" w:sz="0" w:space="0" w:color="auto"/>
            <w:right w:val="none" w:sz="0" w:space="0" w:color="auto"/>
          </w:divBdr>
          <w:divsChild>
            <w:div w:id="847598649">
              <w:marLeft w:val="0"/>
              <w:marRight w:val="0"/>
              <w:marTop w:val="0"/>
              <w:marBottom w:val="0"/>
              <w:divBdr>
                <w:top w:val="none" w:sz="0" w:space="0" w:color="auto"/>
                <w:left w:val="none" w:sz="0" w:space="0" w:color="auto"/>
                <w:bottom w:val="none" w:sz="0" w:space="0" w:color="auto"/>
                <w:right w:val="none" w:sz="0" w:space="0" w:color="auto"/>
              </w:divBdr>
              <w:divsChild>
                <w:div w:id="679505816">
                  <w:marLeft w:val="0"/>
                  <w:marRight w:val="0"/>
                  <w:marTop w:val="0"/>
                  <w:marBottom w:val="0"/>
                  <w:divBdr>
                    <w:top w:val="none" w:sz="0" w:space="0" w:color="auto"/>
                    <w:left w:val="none" w:sz="0" w:space="0" w:color="auto"/>
                    <w:bottom w:val="none" w:sz="0" w:space="0" w:color="auto"/>
                    <w:right w:val="none" w:sz="0" w:space="0" w:color="auto"/>
                  </w:divBdr>
                  <w:divsChild>
                    <w:div w:id="1916042386">
                      <w:marLeft w:val="0"/>
                      <w:marRight w:val="0"/>
                      <w:marTop w:val="0"/>
                      <w:marBottom w:val="0"/>
                      <w:divBdr>
                        <w:top w:val="none" w:sz="0" w:space="0" w:color="auto"/>
                        <w:left w:val="none" w:sz="0" w:space="0" w:color="auto"/>
                        <w:bottom w:val="none" w:sz="0" w:space="0" w:color="auto"/>
                        <w:right w:val="none" w:sz="0" w:space="0" w:color="auto"/>
                      </w:divBdr>
                      <w:divsChild>
                        <w:div w:id="967659902">
                          <w:marLeft w:val="1"/>
                          <w:marRight w:val="0"/>
                          <w:marTop w:val="1"/>
                          <w:marBottom w:val="1"/>
                          <w:divBdr>
                            <w:top w:val="none" w:sz="0" w:space="0" w:color="auto"/>
                            <w:left w:val="none" w:sz="0" w:space="0" w:color="auto"/>
                            <w:bottom w:val="none" w:sz="0" w:space="0" w:color="auto"/>
                            <w:right w:val="none" w:sz="0" w:space="0" w:color="auto"/>
                          </w:divBdr>
                          <w:divsChild>
                            <w:div w:id="1932539819">
                              <w:marLeft w:val="0"/>
                              <w:marRight w:val="0"/>
                              <w:marTop w:val="0"/>
                              <w:marBottom w:val="0"/>
                              <w:divBdr>
                                <w:top w:val="none" w:sz="0" w:space="0" w:color="auto"/>
                                <w:left w:val="none" w:sz="0" w:space="0" w:color="auto"/>
                                <w:bottom w:val="none" w:sz="0" w:space="0" w:color="auto"/>
                                <w:right w:val="none" w:sz="0" w:space="0" w:color="auto"/>
                              </w:divBdr>
                              <w:divsChild>
                                <w:div w:id="1606961481">
                                  <w:marLeft w:val="0"/>
                                  <w:marRight w:val="0"/>
                                  <w:marTop w:val="0"/>
                                  <w:marBottom w:val="0"/>
                                  <w:divBdr>
                                    <w:top w:val="none" w:sz="0" w:space="0" w:color="auto"/>
                                    <w:left w:val="none" w:sz="0" w:space="0" w:color="auto"/>
                                    <w:bottom w:val="none" w:sz="0" w:space="0" w:color="auto"/>
                                    <w:right w:val="none" w:sz="0" w:space="0" w:color="auto"/>
                                  </w:divBdr>
                                </w:div>
                                <w:div w:id="65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E3D586-F33A-4139-B4F2-7BA25BE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1201</Words>
  <Characters>6852</Characters>
  <Application>Microsoft Office Word</Application>
  <DocSecurity>0</DocSecurity>
  <Lines>57</Lines>
  <Paragraphs>16</Paragraphs>
  <ScaleCrop>false</ScaleCrop>
  <Company>HKSARG</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MAII</dc:creator>
  <cp:lastModifiedBy>TID Web Portal</cp:lastModifiedBy>
  <cp:revision>2</cp:revision>
  <cp:lastPrinted>2017-06-21T12:28:00Z</cp:lastPrinted>
  <dcterms:created xsi:type="dcterms:W3CDTF">2017-06-27T23:18:00Z</dcterms:created>
  <dcterms:modified xsi:type="dcterms:W3CDTF">2017-06-27T23:18:00Z</dcterms:modified>
</cp:coreProperties>
</file>